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6BC5" w:rsidRPr="00027B5F" w:rsidRDefault="001446E0" w:rsidP="00027B5F">
      <w:pPr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>В ходе выполнения проекта по Соглашению от 28 ноября 2014 г</w:t>
      </w:r>
      <w:r w:rsidRPr="00027B5F">
        <w:rPr>
          <w:color w:val="000000"/>
          <w:sz w:val="24"/>
          <w:szCs w:val="24"/>
        </w:rPr>
        <w:t xml:space="preserve">. </w:t>
      </w:r>
      <w:r w:rsidRPr="00027B5F">
        <w:rPr>
          <w:sz w:val="24"/>
          <w:szCs w:val="24"/>
        </w:rPr>
        <w:t xml:space="preserve">№ 14.575.21.0106 </w:t>
      </w:r>
      <w:r w:rsidR="00027B5F">
        <w:rPr>
          <w:sz w:val="24"/>
          <w:szCs w:val="24"/>
        </w:rPr>
        <w:br/>
      </w:r>
      <w:r w:rsidRPr="00027B5F">
        <w:rPr>
          <w:sz w:val="24"/>
          <w:szCs w:val="24"/>
        </w:rPr>
        <w:t xml:space="preserve">с Минобрнауки в рамках федеральной целевой программы «Исследования и разработки </w:t>
      </w:r>
      <w:r w:rsidR="00027B5F">
        <w:rPr>
          <w:sz w:val="24"/>
          <w:szCs w:val="24"/>
        </w:rPr>
        <w:br/>
      </w:r>
      <w:r w:rsidRPr="00027B5F">
        <w:rPr>
          <w:sz w:val="24"/>
          <w:szCs w:val="24"/>
        </w:rPr>
        <w:t xml:space="preserve">по приоритетным направлениям развития научно-технологического комплекса России </w:t>
      </w:r>
      <w:r w:rsidR="00027B5F">
        <w:rPr>
          <w:sz w:val="24"/>
          <w:szCs w:val="24"/>
        </w:rPr>
        <w:br/>
      </w:r>
      <w:r w:rsidRPr="00027B5F">
        <w:rPr>
          <w:sz w:val="24"/>
          <w:szCs w:val="24"/>
        </w:rPr>
        <w:t xml:space="preserve">на 2014 – 2020 годы» на этапе № 1 в период с 28 ноября 2014 г. по 31 декабря 2014 г. </w:t>
      </w:r>
      <w:r w:rsidR="00027B5F">
        <w:rPr>
          <w:sz w:val="24"/>
          <w:szCs w:val="24"/>
        </w:rPr>
        <w:br/>
      </w:r>
      <w:r w:rsidRPr="00027B5F">
        <w:rPr>
          <w:b/>
          <w:i/>
          <w:sz w:val="24"/>
          <w:szCs w:val="24"/>
        </w:rPr>
        <w:t>выполнялись следующие работы</w:t>
      </w:r>
      <w:r w:rsidRPr="00027B5F">
        <w:rPr>
          <w:sz w:val="24"/>
          <w:szCs w:val="24"/>
        </w:rPr>
        <w:t>:</w:t>
      </w:r>
      <w:bookmarkStart w:id="0" w:name="_GoBack"/>
      <w:bookmarkEnd w:id="0"/>
    </w:p>
    <w:p w:rsidR="001446E0" w:rsidRPr="00027B5F" w:rsidRDefault="001446E0" w:rsidP="00027B5F">
      <w:pPr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>По п.1.1 Плана-графика проведен аналитический обзор современной научно-технической, нормативной, методической литературы, затрагивающей научно-техническую проблему, исследуемую в рамках ПНИ.</w:t>
      </w:r>
    </w:p>
    <w:p w:rsidR="001446E0" w:rsidRPr="00027B5F" w:rsidRDefault="001446E0" w:rsidP="00027B5F">
      <w:pPr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>По п.1.2 Плана-графика проведены патентные исследования в соответствии с ГОСТ 15.011-96</w:t>
      </w:r>
      <w:r w:rsidR="00027B5F">
        <w:rPr>
          <w:sz w:val="24"/>
          <w:szCs w:val="24"/>
        </w:rPr>
        <w:t>.</w:t>
      </w:r>
    </w:p>
    <w:p w:rsidR="001446E0" w:rsidRPr="00027B5F" w:rsidRDefault="001446E0" w:rsidP="00027B5F">
      <w:pPr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>По п. 1.3 Плана-графика проведены выбор направления исследования и обоснование спос</w:t>
      </w:r>
      <w:r w:rsidR="00027B5F">
        <w:rPr>
          <w:sz w:val="24"/>
          <w:szCs w:val="24"/>
        </w:rPr>
        <w:t>обов решения поставленных задач.</w:t>
      </w:r>
    </w:p>
    <w:p w:rsidR="001446E0" w:rsidRPr="00027B5F" w:rsidRDefault="001446E0" w:rsidP="00027B5F">
      <w:pPr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>По п. 1.4 Плана-графика принято участие в мероприятии, направленном на освещение и популяризацию промежуточных результатов ПНИ (школа-семинар «</w:t>
      </w:r>
      <w:proofErr w:type="spellStart"/>
      <w:r w:rsidRPr="00027B5F">
        <w:rPr>
          <w:sz w:val="24"/>
          <w:szCs w:val="24"/>
        </w:rPr>
        <w:t>Микрофлюидные</w:t>
      </w:r>
      <w:proofErr w:type="spellEnd"/>
      <w:r w:rsidRPr="00027B5F">
        <w:rPr>
          <w:sz w:val="24"/>
          <w:szCs w:val="24"/>
        </w:rPr>
        <w:t xml:space="preserve"> системы в анализе газовых сред»)</w:t>
      </w:r>
      <w:r w:rsidR="00027B5F">
        <w:rPr>
          <w:sz w:val="24"/>
          <w:szCs w:val="24"/>
        </w:rPr>
        <w:t>.</w:t>
      </w:r>
    </w:p>
    <w:p w:rsidR="001446E0" w:rsidRPr="00027B5F" w:rsidRDefault="001446E0" w:rsidP="00027B5F">
      <w:pPr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 xml:space="preserve">По п. 1.5 Плана-графика изготовлены прототипы </w:t>
      </w:r>
      <w:proofErr w:type="spellStart"/>
      <w:r w:rsidRPr="00027B5F">
        <w:rPr>
          <w:sz w:val="24"/>
          <w:szCs w:val="24"/>
        </w:rPr>
        <w:t>микрорельефных</w:t>
      </w:r>
      <w:proofErr w:type="spellEnd"/>
      <w:r w:rsidRPr="00027B5F">
        <w:rPr>
          <w:sz w:val="24"/>
          <w:szCs w:val="24"/>
        </w:rPr>
        <w:t xml:space="preserve"> конструкций на плоских пластинах</w:t>
      </w:r>
      <w:r w:rsidR="00027B5F">
        <w:rPr>
          <w:sz w:val="24"/>
          <w:szCs w:val="24"/>
        </w:rPr>
        <w:t>.</w:t>
      </w:r>
    </w:p>
    <w:p w:rsidR="001446E0" w:rsidRPr="00027B5F" w:rsidRDefault="001446E0" w:rsidP="00027B5F">
      <w:pPr>
        <w:spacing w:line="276" w:lineRule="auto"/>
        <w:rPr>
          <w:b/>
          <w:i/>
          <w:sz w:val="24"/>
          <w:szCs w:val="24"/>
        </w:rPr>
      </w:pPr>
      <w:r w:rsidRPr="00027B5F">
        <w:rPr>
          <w:b/>
          <w:i/>
          <w:sz w:val="24"/>
          <w:szCs w:val="24"/>
        </w:rPr>
        <w:t>При этом были получены следующие результаты:</w:t>
      </w:r>
    </w:p>
    <w:p w:rsidR="001446E0" w:rsidRPr="00027B5F" w:rsidRDefault="001446E0" w:rsidP="00027B5F">
      <w:pPr>
        <w:widowControl w:val="0"/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 xml:space="preserve">Аналитический обзор информационных источников, затрагивающих  </w:t>
      </w:r>
      <w:r w:rsidR="009431E6" w:rsidRPr="00027B5F">
        <w:rPr>
          <w:sz w:val="24"/>
          <w:szCs w:val="24"/>
        </w:rPr>
        <w:t xml:space="preserve">исследуемую </w:t>
      </w:r>
      <w:r w:rsidRPr="00027B5F">
        <w:rPr>
          <w:sz w:val="24"/>
          <w:szCs w:val="24"/>
        </w:rPr>
        <w:t xml:space="preserve">научно-техническую проблему, показал, что интеграция России в мировое экономическое пространство, интенсивное развитие промышленности и таких приоритетных направлений, как мониторинг окружающей среды, системы жизнеобеспечения и защиты человека, экология и рациональное природопользование требуют ускорения развития передовых производственных и аналитических технологий, реализация которых неосуществима </w:t>
      </w:r>
      <w:proofErr w:type="gramStart"/>
      <w:r w:rsidRPr="00027B5F">
        <w:rPr>
          <w:sz w:val="24"/>
          <w:szCs w:val="24"/>
        </w:rPr>
        <w:t>без</w:t>
      </w:r>
      <w:proofErr w:type="gramEnd"/>
      <w:r w:rsidRPr="00027B5F">
        <w:rPr>
          <w:sz w:val="24"/>
          <w:szCs w:val="24"/>
        </w:rPr>
        <w:t xml:space="preserve"> надежного эколого-аналитического контроля производственных процессов и определения загрязнителей в окружающей среде. Эффективность регулирования и контроля уровня загрязнения воздушных сред зависит от эффективности системы мониторинга объектов окружающей среды. Существующая система мониторинга окружающей среды предполагает </w:t>
      </w:r>
      <w:proofErr w:type="spellStart"/>
      <w:r w:rsidRPr="00027B5F">
        <w:rPr>
          <w:sz w:val="24"/>
          <w:szCs w:val="24"/>
        </w:rPr>
        <w:t>многостадийность</w:t>
      </w:r>
      <w:proofErr w:type="spellEnd"/>
      <w:r w:rsidRPr="00027B5F">
        <w:rPr>
          <w:sz w:val="24"/>
          <w:szCs w:val="24"/>
        </w:rPr>
        <w:t xml:space="preserve"> процесса, который включает в себя отбор пробы, транспортировку, </w:t>
      </w:r>
      <w:proofErr w:type="spellStart"/>
      <w:r w:rsidRPr="00027B5F">
        <w:rPr>
          <w:sz w:val="24"/>
          <w:szCs w:val="24"/>
        </w:rPr>
        <w:t>пробоподготовку</w:t>
      </w:r>
      <w:proofErr w:type="spellEnd"/>
      <w:r w:rsidRPr="00027B5F">
        <w:rPr>
          <w:sz w:val="24"/>
          <w:szCs w:val="24"/>
        </w:rPr>
        <w:t xml:space="preserve"> и концентрирование, непосредственный анализ, суммарная погрешность анализа при этом может достигать 90%. В </w:t>
      </w:r>
      <w:proofErr w:type="gramStart"/>
      <w:r w:rsidRPr="00027B5F">
        <w:rPr>
          <w:sz w:val="24"/>
          <w:szCs w:val="24"/>
        </w:rPr>
        <w:t>связи</w:t>
      </w:r>
      <w:proofErr w:type="gramEnd"/>
      <w:r w:rsidRPr="00027B5F">
        <w:rPr>
          <w:sz w:val="24"/>
          <w:szCs w:val="24"/>
        </w:rPr>
        <w:t xml:space="preserve"> с чем очевидна необходимость разработки системы непрерывного дистанционного </w:t>
      </w:r>
      <w:proofErr w:type="spellStart"/>
      <w:r w:rsidRPr="00027B5F">
        <w:rPr>
          <w:sz w:val="24"/>
          <w:szCs w:val="24"/>
        </w:rPr>
        <w:t>on-line</w:t>
      </w:r>
      <w:proofErr w:type="spellEnd"/>
      <w:r w:rsidRPr="00027B5F">
        <w:rPr>
          <w:sz w:val="24"/>
          <w:szCs w:val="24"/>
        </w:rPr>
        <w:t xml:space="preserve"> мониторинга, введение которой позволило бы автоматизировать процесс эколого-аналитических измерений, осуществлять измерения в динамическом режиме, исключая возможность фальсификации. Решение данной проблемы невозможно без создания новых аналитических технологий, а также технических средств, привлечения подходов и методов из арсенала различных областей науки и техники: химии, физики, математики, микроэлектроники, вычислительной техники и т.д., поскольку только такой системный подход делает возможным создание «умных» приборов, объединяющих в себ</w:t>
      </w:r>
      <w:r w:rsidR="00027B5F">
        <w:rPr>
          <w:sz w:val="24"/>
          <w:szCs w:val="24"/>
        </w:rPr>
        <w:t>е передовые мировые технологии.</w:t>
      </w:r>
    </w:p>
    <w:p w:rsidR="001446E0" w:rsidRPr="00027B5F" w:rsidRDefault="001446E0" w:rsidP="00027B5F">
      <w:pPr>
        <w:widowControl w:val="0"/>
        <w:tabs>
          <w:tab w:val="num" w:pos="0"/>
        </w:tabs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 xml:space="preserve">Одной из наиболее активно развивающихся областей в аналитической химии является создание </w:t>
      </w:r>
      <w:proofErr w:type="spellStart"/>
      <w:r w:rsidRPr="00027B5F">
        <w:rPr>
          <w:sz w:val="24"/>
          <w:szCs w:val="24"/>
        </w:rPr>
        <w:t>микрофлюидных</w:t>
      </w:r>
      <w:proofErr w:type="spellEnd"/>
      <w:r w:rsidRPr="00027B5F">
        <w:rPr>
          <w:sz w:val="24"/>
          <w:szCs w:val="24"/>
        </w:rPr>
        <w:t xml:space="preserve"> систем различного типа и их адаптация для решения разнообразных аналитических задач. Суть </w:t>
      </w:r>
      <w:proofErr w:type="spellStart"/>
      <w:r w:rsidRPr="00027B5F">
        <w:rPr>
          <w:sz w:val="24"/>
          <w:szCs w:val="24"/>
        </w:rPr>
        <w:t>микрофлюидных</w:t>
      </w:r>
      <w:proofErr w:type="spellEnd"/>
      <w:r w:rsidRPr="00027B5F">
        <w:rPr>
          <w:sz w:val="24"/>
          <w:szCs w:val="24"/>
        </w:rPr>
        <w:t xml:space="preserve"> систем сводится к интеграции всех конструкционных узлов аналитической системы на плоской пластине с разветвленной системой каналов, в которых должны осуществляться отбор и предварительная подготовка пробы, разделение и последующее де</w:t>
      </w:r>
      <w:r w:rsidR="00027B5F">
        <w:rPr>
          <w:sz w:val="24"/>
          <w:szCs w:val="24"/>
        </w:rPr>
        <w:t>тектирование компонентов пробы.</w:t>
      </w:r>
    </w:p>
    <w:p w:rsidR="001446E0" w:rsidRPr="00027B5F" w:rsidRDefault="001446E0" w:rsidP="00027B5F">
      <w:pPr>
        <w:widowControl w:val="0"/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 xml:space="preserve">Общая схема создания </w:t>
      </w:r>
      <w:proofErr w:type="spellStart"/>
      <w:r w:rsidRPr="00027B5F">
        <w:rPr>
          <w:sz w:val="24"/>
          <w:szCs w:val="24"/>
        </w:rPr>
        <w:t>микр</w:t>
      </w:r>
      <w:r w:rsidR="00027B5F">
        <w:rPr>
          <w:sz w:val="24"/>
          <w:szCs w:val="24"/>
        </w:rPr>
        <w:t>офлюидных</w:t>
      </w:r>
      <w:proofErr w:type="spellEnd"/>
      <w:r w:rsidR="00027B5F">
        <w:rPr>
          <w:sz w:val="24"/>
          <w:szCs w:val="24"/>
        </w:rPr>
        <w:t xml:space="preserve"> систем заключается в </w:t>
      </w:r>
      <w:r w:rsidRPr="00027B5F">
        <w:rPr>
          <w:sz w:val="24"/>
          <w:szCs w:val="24"/>
        </w:rPr>
        <w:t xml:space="preserve">подготовке подходящей </w:t>
      </w:r>
      <w:r w:rsidR="00027B5F">
        <w:rPr>
          <w:sz w:val="24"/>
          <w:szCs w:val="24"/>
        </w:rPr>
        <w:lastRenderedPageBreak/>
        <w:t xml:space="preserve">подложки, </w:t>
      </w:r>
      <w:r w:rsidRPr="00027B5F">
        <w:rPr>
          <w:sz w:val="24"/>
          <w:szCs w:val="24"/>
        </w:rPr>
        <w:t xml:space="preserve">изготовлении шаблона для выбранной топологии </w:t>
      </w:r>
      <w:proofErr w:type="spellStart"/>
      <w:r w:rsidRPr="00027B5F">
        <w:rPr>
          <w:sz w:val="24"/>
          <w:szCs w:val="24"/>
        </w:rPr>
        <w:t>микрофлюидной</w:t>
      </w:r>
      <w:proofErr w:type="spellEnd"/>
      <w:r w:rsidRPr="00027B5F">
        <w:rPr>
          <w:sz w:val="24"/>
          <w:szCs w:val="24"/>
        </w:rPr>
        <w:t xml:space="preserve"> системы; формирование микрорельефа, то есть системы </w:t>
      </w:r>
      <w:proofErr w:type="spellStart"/>
      <w:r w:rsidRPr="00027B5F">
        <w:rPr>
          <w:sz w:val="24"/>
          <w:szCs w:val="24"/>
        </w:rPr>
        <w:t>микроканалов</w:t>
      </w:r>
      <w:proofErr w:type="spellEnd"/>
      <w:r w:rsidRPr="00027B5F">
        <w:rPr>
          <w:sz w:val="24"/>
          <w:szCs w:val="24"/>
        </w:rPr>
        <w:t xml:space="preserve">, и их </w:t>
      </w:r>
      <w:proofErr w:type="spellStart"/>
      <w:r w:rsidRPr="00027B5F">
        <w:rPr>
          <w:sz w:val="24"/>
          <w:szCs w:val="24"/>
        </w:rPr>
        <w:t>герметизаци</w:t>
      </w:r>
      <w:proofErr w:type="spellEnd"/>
      <w:r w:rsidRPr="00027B5F">
        <w:rPr>
          <w:sz w:val="24"/>
          <w:szCs w:val="24"/>
        </w:rPr>
        <w:t xml:space="preserve">. В настоящее время для формирования микрорельефа в </w:t>
      </w:r>
      <w:proofErr w:type="spellStart"/>
      <w:r w:rsidRPr="00027B5F">
        <w:rPr>
          <w:sz w:val="24"/>
          <w:szCs w:val="24"/>
        </w:rPr>
        <w:t>микрофлюидных</w:t>
      </w:r>
      <w:proofErr w:type="spellEnd"/>
      <w:r w:rsidRPr="00027B5F">
        <w:rPr>
          <w:sz w:val="24"/>
          <w:szCs w:val="24"/>
        </w:rPr>
        <w:t xml:space="preserve"> системах используется множество МЭМС-технологий (литография, химическое и </w:t>
      </w:r>
      <w:proofErr w:type="spellStart"/>
      <w:r w:rsidRPr="00027B5F">
        <w:rPr>
          <w:sz w:val="24"/>
          <w:szCs w:val="24"/>
        </w:rPr>
        <w:t>плазмохимичекое</w:t>
      </w:r>
      <w:proofErr w:type="spellEnd"/>
      <w:r w:rsidRPr="00027B5F">
        <w:rPr>
          <w:sz w:val="24"/>
          <w:szCs w:val="24"/>
        </w:rPr>
        <w:t xml:space="preserve"> травление, лазерная абля</w:t>
      </w:r>
      <w:r w:rsidR="00027B5F">
        <w:rPr>
          <w:sz w:val="24"/>
          <w:szCs w:val="24"/>
        </w:rPr>
        <w:t xml:space="preserve">ция, микрофрезерования и др.). </w:t>
      </w:r>
      <w:r w:rsidRPr="00027B5F">
        <w:rPr>
          <w:sz w:val="24"/>
          <w:szCs w:val="24"/>
        </w:rPr>
        <w:t>Одной из актуальных проблем проектиров</w:t>
      </w:r>
      <w:r w:rsidR="00027B5F">
        <w:rPr>
          <w:sz w:val="24"/>
          <w:szCs w:val="24"/>
        </w:rPr>
        <w:t xml:space="preserve">ания современной </w:t>
      </w:r>
      <w:proofErr w:type="spellStart"/>
      <w:r w:rsidR="00027B5F">
        <w:rPr>
          <w:sz w:val="24"/>
          <w:szCs w:val="24"/>
        </w:rPr>
        <w:t>микрофлюидики</w:t>
      </w:r>
      <w:proofErr w:type="spellEnd"/>
      <w:r w:rsidR="00027B5F">
        <w:rPr>
          <w:sz w:val="24"/>
          <w:szCs w:val="24"/>
        </w:rPr>
        <w:t xml:space="preserve"> </w:t>
      </w:r>
      <w:r w:rsidRPr="00027B5F">
        <w:rPr>
          <w:sz w:val="24"/>
          <w:szCs w:val="24"/>
        </w:rPr>
        <w:t xml:space="preserve">является повышение удельной поверхности сорбционных частей </w:t>
      </w:r>
      <w:proofErr w:type="spellStart"/>
      <w:r w:rsidRPr="00027B5F">
        <w:rPr>
          <w:sz w:val="24"/>
          <w:szCs w:val="24"/>
        </w:rPr>
        <w:t>микрофлюидных</w:t>
      </w:r>
      <w:proofErr w:type="spellEnd"/>
      <w:r w:rsidRPr="00027B5F">
        <w:rPr>
          <w:sz w:val="24"/>
          <w:szCs w:val="24"/>
        </w:rPr>
        <w:t xml:space="preserve"> устройств, что может </w:t>
      </w:r>
      <w:r w:rsidR="00027B5F">
        <w:rPr>
          <w:sz w:val="24"/>
          <w:szCs w:val="24"/>
        </w:rPr>
        <w:t xml:space="preserve">быть достигнуто путем создания </w:t>
      </w:r>
      <w:proofErr w:type="spellStart"/>
      <w:r w:rsidRPr="00027B5F">
        <w:rPr>
          <w:sz w:val="24"/>
          <w:szCs w:val="24"/>
        </w:rPr>
        <w:t>поликапиллярных</w:t>
      </w:r>
      <w:proofErr w:type="spellEnd"/>
      <w:r w:rsidRPr="00027B5F">
        <w:rPr>
          <w:sz w:val="24"/>
          <w:szCs w:val="24"/>
        </w:rPr>
        <w:t xml:space="preserve"> систем или путем модифицирования внутренней поверхности канала пленками по</w:t>
      </w:r>
      <w:r w:rsidR="00027B5F">
        <w:rPr>
          <w:sz w:val="24"/>
          <w:szCs w:val="24"/>
        </w:rPr>
        <w:t>лимеров или слоями адсорбентов.</w:t>
      </w:r>
    </w:p>
    <w:p w:rsidR="001446E0" w:rsidRPr="00027B5F" w:rsidRDefault="001446E0" w:rsidP="00027B5F">
      <w:pPr>
        <w:widowControl w:val="0"/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 xml:space="preserve">Проведенный обзор и анализ современной научно-технической, нормативной, методической литературы, затрагивающей научно-техническую проблему, исследуемую в рамках ПНИ, а также патентные исследования показали, что, несмотря на то, что за рубежом </w:t>
      </w:r>
      <w:proofErr w:type="spellStart"/>
      <w:r w:rsidRPr="00027B5F">
        <w:rPr>
          <w:sz w:val="24"/>
          <w:szCs w:val="24"/>
        </w:rPr>
        <w:t>микрофлюидика</w:t>
      </w:r>
      <w:proofErr w:type="spellEnd"/>
      <w:r w:rsidRPr="00027B5F">
        <w:rPr>
          <w:sz w:val="24"/>
          <w:szCs w:val="24"/>
        </w:rPr>
        <w:t xml:space="preserve"> является активно развивающейся областью аналитической химии, в России подобные исследования носят точечный характер. Однако можно заключить, что на данный момент созданы все предпосылки для конгломерации полученных научных знаний и научно-технических решений для качественного скачка в отечественном</w:t>
      </w:r>
      <w:r w:rsidR="00027B5F">
        <w:rPr>
          <w:sz w:val="24"/>
          <w:szCs w:val="24"/>
        </w:rPr>
        <w:t xml:space="preserve"> аналитическом приборостроении.</w:t>
      </w:r>
    </w:p>
    <w:p w:rsidR="001446E0" w:rsidRPr="00027B5F" w:rsidRDefault="001446E0" w:rsidP="00027B5F">
      <w:pPr>
        <w:widowControl w:val="0"/>
        <w:spacing w:line="276" w:lineRule="auto"/>
        <w:rPr>
          <w:sz w:val="24"/>
          <w:szCs w:val="24"/>
        </w:rPr>
      </w:pPr>
      <w:proofErr w:type="gramStart"/>
      <w:r w:rsidRPr="00027B5F">
        <w:rPr>
          <w:sz w:val="24"/>
          <w:szCs w:val="24"/>
        </w:rPr>
        <w:t xml:space="preserve">Проведенные аналитические исследования современной научно-технической, нормативной, методической литературы, затрагивающей научно-техническую проблему, исследуемую в рамках ПНИ, позволили осуществить выбор стратегического направления исследования и обоснование способов решения поставленных задач, направленных на разработку конструкции и изготовление </w:t>
      </w:r>
      <w:proofErr w:type="spellStart"/>
      <w:r w:rsidRPr="00027B5F">
        <w:rPr>
          <w:sz w:val="24"/>
          <w:szCs w:val="24"/>
        </w:rPr>
        <w:t>микродозаторов</w:t>
      </w:r>
      <w:proofErr w:type="spellEnd"/>
      <w:r w:rsidRPr="00027B5F">
        <w:rPr>
          <w:sz w:val="24"/>
          <w:szCs w:val="24"/>
        </w:rPr>
        <w:t xml:space="preserve"> газовых проб, хроматографических </w:t>
      </w:r>
      <w:proofErr w:type="spellStart"/>
      <w:r w:rsidRPr="00027B5F">
        <w:rPr>
          <w:sz w:val="24"/>
          <w:szCs w:val="24"/>
        </w:rPr>
        <w:t>микроколонок</w:t>
      </w:r>
      <w:proofErr w:type="spellEnd"/>
      <w:r w:rsidRPr="00027B5F">
        <w:rPr>
          <w:sz w:val="24"/>
          <w:szCs w:val="24"/>
        </w:rPr>
        <w:t xml:space="preserve"> на плоских пластинах, термоэлементов </w:t>
      </w:r>
      <w:proofErr w:type="spellStart"/>
      <w:r w:rsidRPr="00027B5F">
        <w:rPr>
          <w:sz w:val="24"/>
          <w:szCs w:val="24"/>
        </w:rPr>
        <w:t>микрофлюидных</w:t>
      </w:r>
      <w:proofErr w:type="spellEnd"/>
      <w:r w:rsidRPr="00027B5F">
        <w:rPr>
          <w:sz w:val="24"/>
          <w:szCs w:val="24"/>
        </w:rPr>
        <w:t xml:space="preserve"> систем, а также адаптацию термокаталитического детектора для использования  в составе </w:t>
      </w:r>
      <w:proofErr w:type="spellStart"/>
      <w:r w:rsidRPr="00027B5F">
        <w:rPr>
          <w:sz w:val="24"/>
          <w:szCs w:val="24"/>
        </w:rPr>
        <w:t>микрофлюидной</w:t>
      </w:r>
      <w:proofErr w:type="spellEnd"/>
      <w:r w:rsidRPr="00027B5F">
        <w:rPr>
          <w:sz w:val="24"/>
          <w:szCs w:val="24"/>
        </w:rPr>
        <w:t xml:space="preserve"> системы.</w:t>
      </w:r>
      <w:proofErr w:type="gramEnd"/>
    </w:p>
    <w:p w:rsidR="001446E0" w:rsidRPr="00027B5F" w:rsidRDefault="001446E0" w:rsidP="00027B5F">
      <w:pPr>
        <w:widowControl w:val="0"/>
        <w:spacing w:line="276" w:lineRule="auto"/>
        <w:rPr>
          <w:sz w:val="24"/>
          <w:szCs w:val="24"/>
        </w:rPr>
      </w:pPr>
      <w:proofErr w:type="gramStart"/>
      <w:r w:rsidRPr="00027B5F">
        <w:rPr>
          <w:sz w:val="24"/>
          <w:szCs w:val="24"/>
        </w:rPr>
        <w:t xml:space="preserve">Обобщая передовой опыт и достижения в российском и зарубежном приборостроении, сформирована инновационная стратегия разработки новых научно-технических решений, направленных на создание </w:t>
      </w:r>
      <w:proofErr w:type="spellStart"/>
      <w:r w:rsidRPr="00027B5F">
        <w:rPr>
          <w:sz w:val="24"/>
          <w:szCs w:val="24"/>
        </w:rPr>
        <w:t>микрофлюидных</w:t>
      </w:r>
      <w:proofErr w:type="spellEnd"/>
      <w:r w:rsidRPr="00027B5F">
        <w:rPr>
          <w:sz w:val="24"/>
          <w:szCs w:val="24"/>
        </w:rPr>
        <w:t xml:space="preserve"> систем для эколого-аналитического контроля атмосферного воздуха и промышленных выбросов: для оптимизации функционирования данных систем необходимо проведение исследования газодинамических процессов в </w:t>
      </w:r>
      <w:proofErr w:type="spellStart"/>
      <w:r w:rsidRPr="00027B5F">
        <w:rPr>
          <w:sz w:val="24"/>
          <w:szCs w:val="24"/>
        </w:rPr>
        <w:t>микроканалах</w:t>
      </w:r>
      <w:proofErr w:type="spellEnd"/>
      <w:r w:rsidRPr="00027B5F">
        <w:rPr>
          <w:sz w:val="24"/>
          <w:szCs w:val="24"/>
        </w:rPr>
        <w:t xml:space="preserve"> различной геометрии на плоских пластинах, проведение исследования процессов теплообмена и теплопередачи в тонких слоях металлов на плоских пластинах</w:t>
      </w:r>
      <w:proofErr w:type="gramEnd"/>
      <w:r w:rsidRPr="00027B5F">
        <w:rPr>
          <w:sz w:val="24"/>
          <w:szCs w:val="24"/>
        </w:rPr>
        <w:t xml:space="preserve">; проведение исследования процессов формирования сорбционных слоев на внутренней поверхности и в объеме </w:t>
      </w:r>
      <w:proofErr w:type="spellStart"/>
      <w:r w:rsidRPr="00027B5F">
        <w:rPr>
          <w:sz w:val="24"/>
          <w:szCs w:val="24"/>
        </w:rPr>
        <w:t>микр</w:t>
      </w:r>
      <w:r w:rsidR="00027B5F">
        <w:rPr>
          <w:sz w:val="24"/>
          <w:szCs w:val="24"/>
        </w:rPr>
        <w:t>оканалов</w:t>
      </w:r>
      <w:proofErr w:type="spellEnd"/>
      <w:r w:rsidR="00027B5F">
        <w:rPr>
          <w:sz w:val="24"/>
          <w:szCs w:val="24"/>
        </w:rPr>
        <w:t xml:space="preserve"> на плоских пластинах; </w:t>
      </w:r>
      <w:r w:rsidRPr="00027B5F">
        <w:rPr>
          <w:sz w:val="24"/>
          <w:szCs w:val="24"/>
        </w:rPr>
        <w:t xml:space="preserve">проведение исследования газодинамических и сорбционных процессов в </w:t>
      </w:r>
      <w:proofErr w:type="spellStart"/>
      <w:r w:rsidRPr="00027B5F">
        <w:rPr>
          <w:sz w:val="24"/>
          <w:szCs w:val="24"/>
        </w:rPr>
        <w:t>микроканалах</w:t>
      </w:r>
      <w:proofErr w:type="spellEnd"/>
      <w:r w:rsidRPr="00027B5F">
        <w:rPr>
          <w:sz w:val="24"/>
          <w:szCs w:val="24"/>
        </w:rPr>
        <w:t>, заполненных сорбционными материалами различной природы и геометрии, и с тонким слоем сорбционных и полимерных материалов на внут</w:t>
      </w:r>
      <w:r w:rsidR="00027B5F">
        <w:rPr>
          <w:sz w:val="24"/>
          <w:szCs w:val="24"/>
        </w:rPr>
        <w:t xml:space="preserve">ренней поверхности </w:t>
      </w:r>
      <w:proofErr w:type="spellStart"/>
      <w:r w:rsidR="00027B5F">
        <w:rPr>
          <w:sz w:val="24"/>
          <w:szCs w:val="24"/>
        </w:rPr>
        <w:t>микроканала</w:t>
      </w:r>
      <w:proofErr w:type="spellEnd"/>
      <w:r w:rsidR="00027B5F">
        <w:rPr>
          <w:sz w:val="24"/>
          <w:szCs w:val="24"/>
        </w:rPr>
        <w:t>.</w:t>
      </w:r>
    </w:p>
    <w:p w:rsidR="001446E0" w:rsidRPr="00027B5F" w:rsidRDefault="001446E0" w:rsidP="00027B5F">
      <w:pPr>
        <w:spacing w:line="276" w:lineRule="auto"/>
        <w:rPr>
          <w:sz w:val="24"/>
          <w:szCs w:val="24"/>
        </w:rPr>
      </w:pPr>
      <w:r w:rsidRPr="00027B5F">
        <w:rPr>
          <w:sz w:val="24"/>
          <w:szCs w:val="24"/>
        </w:rPr>
        <w:t>Комиссия Минобрнауки России признала обязательства по Соглашению на отчетном этапе исполненными надлежащим образом.</w:t>
      </w:r>
    </w:p>
    <w:sectPr w:rsidR="001446E0" w:rsidRPr="00027B5F" w:rsidSect="00027B5F">
      <w:pgSz w:w="11906" w:h="16838"/>
      <w:pgMar w:top="1134" w:right="991" w:bottom="1134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BE6"/>
    <w:rsid w:val="00027B5F"/>
    <w:rsid w:val="001446E0"/>
    <w:rsid w:val="001B09A6"/>
    <w:rsid w:val="00750BE6"/>
    <w:rsid w:val="00836BC5"/>
    <w:rsid w:val="009431E6"/>
    <w:rsid w:val="00C135E1"/>
    <w:rsid w:val="00FA26BC"/>
    <w:rsid w:val="00FB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B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135E1"/>
    <w:pPr>
      <w:keepNext/>
      <w:keepLines/>
      <w:spacing w:before="240" w:after="240"/>
      <w:jc w:val="center"/>
      <w:outlineLvl w:val="0"/>
    </w:pPr>
    <w:rPr>
      <w:rFonts w:eastAsiaTheme="majorEastAsia" w:cstheme="majorBidi"/>
      <w:bCs/>
      <w:cap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ормление"/>
    <w:basedOn w:val="a"/>
    <w:autoRedefine/>
    <w:qFormat/>
    <w:rsid w:val="00C135E1"/>
    <w:pPr>
      <w:pBdr>
        <w:left w:val="triple" w:sz="4" w:space="4" w:color="auto"/>
      </w:pBdr>
    </w:pPr>
    <w:rPr>
      <w:rFonts w:eastAsia="Times New Roman" w:cs="Times New Roman"/>
      <w:i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5E1"/>
    <w:rPr>
      <w:rFonts w:ascii="Times New Roman" w:eastAsiaTheme="majorEastAsia" w:hAnsi="Times New Roman" w:cstheme="majorBidi"/>
      <w:bCs/>
      <w:caps/>
      <w:sz w:val="28"/>
      <w:szCs w:val="28"/>
      <w:lang w:eastAsia="ru-RU"/>
    </w:rPr>
  </w:style>
  <w:style w:type="paragraph" w:customStyle="1" w:styleId="a4">
    <w:name w:val="Таблица"/>
    <w:basedOn w:val="a"/>
    <w:qFormat/>
    <w:rsid w:val="00FA26BC"/>
    <w:pPr>
      <w:spacing w:line="240" w:lineRule="auto"/>
      <w:ind w:firstLine="0"/>
      <w:jc w:val="center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6BC"/>
    <w:pPr>
      <w:spacing w:after="0" w:line="360" w:lineRule="auto"/>
      <w:ind w:firstLine="709"/>
      <w:jc w:val="both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autoRedefine/>
    <w:uiPriority w:val="9"/>
    <w:qFormat/>
    <w:rsid w:val="00C135E1"/>
    <w:pPr>
      <w:keepNext/>
      <w:keepLines/>
      <w:spacing w:before="240" w:after="240"/>
      <w:jc w:val="center"/>
      <w:outlineLvl w:val="0"/>
    </w:pPr>
    <w:rPr>
      <w:rFonts w:eastAsiaTheme="majorEastAsia" w:cstheme="majorBidi"/>
      <w:bCs/>
      <w:caps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Оформление"/>
    <w:basedOn w:val="a"/>
    <w:autoRedefine/>
    <w:qFormat/>
    <w:rsid w:val="00C135E1"/>
    <w:pPr>
      <w:pBdr>
        <w:left w:val="triple" w:sz="4" w:space="4" w:color="auto"/>
      </w:pBdr>
    </w:pPr>
    <w:rPr>
      <w:rFonts w:eastAsia="Times New Roman" w:cs="Times New Roman"/>
      <w:i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135E1"/>
    <w:rPr>
      <w:rFonts w:ascii="Times New Roman" w:eastAsiaTheme="majorEastAsia" w:hAnsi="Times New Roman" w:cstheme="majorBidi"/>
      <w:bCs/>
      <w:caps/>
      <w:sz w:val="28"/>
      <w:szCs w:val="28"/>
      <w:lang w:eastAsia="ru-RU"/>
    </w:rPr>
  </w:style>
  <w:style w:type="paragraph" w:customStyle="1" w:styleId="a4">
    <w:name w:val="Таблица"/>
    <w:basedOn w:val="a"/>
    <w:qFormat/>
    <w:rsid w:val="00FA26BC"/>
    <w:pPr>
      <w:spacing w:line="240" w:lineRule="auto"/>
      <w:ind w:firstLine="0"/>
      <w:jc w:val="center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926</Words>
  <Characters>5284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Катя</dc:creator>
  <cp:keywords/>
  <dc:description/>
  <cp:lastModifiedBy>Юлия Злобина</cp:lastModifiedBy>
  <cp:revision>6</cp:revision>
  <dcterms:created xsi:type="dcterms:W3CDTF">2015-07-06T16:52:00Z</dcterms:created>
  <dcterms:modified xsi:type="dcterms:W3CDTF">2015-07-07T05:21:00Z</dcterms:modified>
</cp:coreProperties>
</file>