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5" w:rsidRDefault="001446E0" w:rsidP="009431E6">
      <w:pPr>
        <w:spacing w:line="276" w:lineRule="auto"/>
        <w:rPr>
          <w:szCs w:val="28"/>
        </w:rPr>
      </w:pPr>
      <w:proofErr w:type="gramStart"/>
      <w:r>
        <w:t xml:space="preserve">В ходе выполнения проекта по Соглашению </w:t>
      </w:r>
      <w:r w:rsidRPr="00534009">
        <w:rPr>
          <w:szCs w:val="28"/>
        </w:rPr>
        <w:t>от 28 ноября 2014 г</w:t>
      </w:r>
      <w:r w:rsidRPr="0053400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534009">
        <w:rPr>
          <w:szCs w:val="28"/>
        </w:rPr>
        <w:t>№ 14.575.21.</w:t>
      </w:r>
      <w:r>
        <w:rPr>
          <w:szCs w:val="28"/>
        </w:rPr>
        <w:t>0106</w:t>
      </w:r>
      <w:r w:rsidRPr="00534009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в рамках федеральной целевой программы </w:t>
      </w:r>
      <w:r w:rsidRPr="001446E0">
        <w:rPr>
          <w:szCs w:val="28"/>
        </w:rPr>
        <w:t>«Исследования и разработки по приоритетным направлениям развития научно-технологического комплекса России на 2014 – 2020 годы»</w:t>
      </w:r>
      <w:r w:rsidR="00FE5BA6">
        <w:rPr>
          <w:szCs w:val="28"/>
        </w:rPr>
        <w:t xml:space="preserve"> на этапе № </w:t>
      </w:r>
      <w:bookmarkStart w:id="0" w:name="_GoBack"/>
      <w:bookmarkEnd w:id="0"/>
      <w:r w:rsidR="00FE5BA6">
        <w:rPr>
          <w:szCs w:val="28"/>
        </w:rPr>
        <w:t>3</w:t>
      </w:r>
      <w:r>
        <w:rPr>
          <w:szCs w:val="28"/>
        </w:rPr>
        <w:t xml:space="preserve"> в период с </w:t>
      </w:r>
      <w:r w:rsidR="00067A31">
        <w:rPr>
          <w:szCs w:val="28"/>
        </w:rPr>
        <w:t>01</w:t>
      </w:r>
      <w:r>
        <w:rPr>
          <w:szCs w:val="28"/>
        </w:rPr>
        <w:t xml:space="preserve"> </w:t>
      </w:r>
      <w:r w:rsidR="00067A31">
        <w:rPr>
          <w:szCs w:val="28"/>
        </w:rPr>
        <w:t>июля</w:t>
      </w:r>
      <w:r>
        <w:rPr>
          <w:szCs w:val="28"/>
        </w:rPr>
        <w:t xml:space="preserve"> 201</w:t>
      </w:r>
      <w:r w:rsidR="00922ADF">
        <w:rPr>
          <w:szCs w:val="28"/>
        </w:rPr>
        <w:t>5</w:t>
      </w:r>
      <w:r>
        <w:rPr>
          <w:szCs w:val="28"/>
        </w:rPr>
        <w:t xml:space="preserve"> г. по </w:t>
      </w:r>
      <w:r w:rsidR="00922ADF">
        <w:rPr>
          <w:szCs w:val="28"/>
        </w:rPr>
        <w:t>3</w:t>
      </w:r>
      <w:r w:rsidR="00067A31">
        <w:rPr>
          <w:szCs w:val="28"/>
        </w:rPr>
        <w:t>1</w:t>
      </w:r>
      <w:r>
        <w:rPr>
          <w:szCs w:val="28"/>
        </w:rPr>
        <w:t xml:space="preserve"> </w:t>
      </w:r>
      <w:r w:rsidR="00067A31">
        <w:rPr>
          <w:szCs w:val="28"/>
        </w:rPr>
        <w:t>декабря</w:t>
      </w:r>
      <w:r>
        <w:rPr>
          <w:szCs w:val="28"/>
        </w:rPr>
        <w:t xml:space="preserve"> 201</w:t>
      </w:r>
      <w:r w:rsidR="00922ADF">
        <w:rPr>
          <w:szCs w:val="28"/>
        </w:rPr>
        <w:t>5</w:t>
      </w:r>
      <w:r>
        <w:rPr>
          <w:szCs w:val="28"/>
        </w:rPr>
        <w:t xml:space="preserve"> г. выполнялись следующие работы:</w:t>
      </w:r>
      <w:proofErr w:type="gramEnd"/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3.1 Плана-графика исполнения обязательств по Соглашению проведено исследование газодинамических и сорбционных процессов в </w:t>
      </w:r>
      <w:proofErr w:type="spellStart"/>
      <w:r w:rsidRPr="00067A31">
        <w:rPr>
          <w:szCs w:val="28"/>
        </w:rPr>
        <w:t>микроканалах</w:t>
      </w:r>
      <w:proofErr w:type="spellEnd"/>
      <w:r w:rsidRPr="00067A31">
        <w:rPr>
          <w:szCs w:val="28"/>
        </w:rPr>
        <w:t>, заполненных сорбционными материалами различной природы и геометрии</w:t>
      </w:r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3.2 Плана-графика исполнения обязательств по Соглашению проведено исследование газодинамических и сорбционных процессов в </w:t>
      </w:r>
      <w:proofErr w:type="spellStart"/>
      <w:r w:rsidRPr="00067A31">
        <w:rPr>
          <w:szCs w:val="28"/>
        </w:rPr>
        <w:t>микроканалах</w:t>
      </w:r>
      <w:proofErr w:type="spellEnd"/>
      <w:r w:rsidRPr="00067A31">
        <w:rPr>
          <w:szCs w:val="28"/>
        </w:rPr>
        <w:t xml:space="preserve"> с тонким слоем сорбционных и полимерных материалов на внутренней поверхности </w:t>
      </w:r>
      <w:proofErr w:type="spellStart"/>
      <w:r w:rsidRPr="00067A31">
        <w:rPr>
          <w:szCs w:val="28"/>
        </w:rPr>
        <w:t>микроканала</w:t>
      </w:r>
      <w:proofErr w:type="spellEnd"/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3.3 Плана-графика исполнения обязательств по Соглашению проведены разработка конструкции и изготовление </w:t>
      </w:r>
      <w:proofErr w:type="spellStart"/>
      <w:r w:rsidRPr="00067A31">
        <w:rPr>
          <w:szCs w:val="28"/>
        </w:rPr>
        <w:t>микродозаторов</w:t>
      </w:r>
      <w:proofErr w:type="spellEnd"/>
      <w:r w:rsidRPr="00067A31">
        <w:rPr>
          <w:szCs w:val="28"/>
        </w:rPr>
        <w:t xml:space="preserve"> газовых проб, </w:t>
      </w:r>
      <w:proofErr w:type="spellStart"/>
      <w:r w:rsidRPr="00067A31">
        <w:rPr>
          <w:szCs w:val="28"/>
        </w:rPr>
        <w:t>хроматографических</w:t>
      </w:r>
      <w:proofErr w:type="spellEnd"/>
      <w:r w:rsidRPr="00067A31">
        <w:rPr>
          <w:szCs w:val="28"/>
        </w:rPr>
        <w:t xml:space="preserve"> </w:t>
      </w:r>
      <w:proofErr w:type="spellStart"/>
      <w:r w:rsidRPr="00067A31">
        <w:rPr>
          <w:szCs w:val="28"/>
        </w:rPr>
        <w:t>микроколонок</w:t>
      </w:r>
      <w:proofErr w:type="spellEnd"/>
      <w:r w:rsidRPr="00067A31">
        <w:rPr>
          <w:szCs w:val="28"/>
        </w:rPr>
        <w:t xml:space="preserve"> на плоских пластинах, термоэлементов </w:t>
      </w:r>
      <w:proofErr w:type="spellStart"/>
      <w:r w:rsidRPr="00067A31">
        <w:rPr>
          <w:szCs w:val="28"/>
        </w:rPr>
        <w:t>микрофлюидных</w:t>
      </w:r>
      <w:proofErr w:type="spellEnd"/>
      <w:r w:rsidRPr="00067A31">
        <w:rPr>
          <w:szCs w:val="28"/>
        </w:rPr>
        <w:t xml:space="preserve"> систем</w:t>
      </w:r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3.4 Плана-графика исполнения обязательств по Соглашению разработано техническое задание на изготовление стенда для экспериментальных исследований </w:t>
      </w:r>
      <w:proofErr w:type="spellStart"/>
      <w:r w:rsidRPr="00067A31">
        <w:rPr>
          <w:szCs w:val="28"/>
        </w:rPr>
        <w:t>микрофлюидных</w:t>
      </w:r>
      <w:proofErr w:type="spellEnd"/>
      <w:r w:rsidRPr="00067A31">
        <w:rPr>
          <w:szCs w:val="28"/>
        </w:rPr>
        <w:t xml:space="preserve"> систем </w:t>
      </w:r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3.5 Плана-графика исполнения обязательств по Соглашению разработана программа и методики экспериментального исследования </w:t>
      </w:r>
      <w:proofErr w:type="spellStart"/>
      <w:r w:rsidRPr="00067A31">
        <w:rPr>
          <w:szCs w:val="28"/>
        </w:rPr>
        <w:t>микрофлюидных</w:t>
      </w:r>
      <w:proofErr w:type="spellEnd"/>
      <w:r w:rsidRPr="00067A31">
        <w:rPr>
          <w:szCs w:val="28"/>
        </w:rPr>
        <w:t xml:space="preserve"> систем</w:t>
      </w:r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3.6 Плана-графика исполнения обязательств по Соглашению изготовлен стенд для экспериментальных исследований </w:t>
      </w:r>
      <w:proofErr w:type="spellStart"/>
      <w:r w:rsidRPr="00067A31">
        <w:rPr>
          <w:szCs w:val="28"/>
        </w:rPr>
        <w:t>микрофлюидных</w:t>
      </w:r>
      <w:proofErr w:type="spellEnd"/>
      <w:r w:rsidRPr="00067A31">
        <w:rPr>
          <w:szCs w:val="28"/>
        </w:rPr>
        <w:t xml:space="preserve"> систем</w:t>
      </w:r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3.7 Плана-графика исполнения обязательств по Соглашению разработана инструкция по эксплуатации стенда для экспериментальных исследований </w:t>
      </w:r>
      <w:proofErr w:type="spellStart"/>
      <w:r w:rsidRPr="00067A31">
        <w:rPr>
          <w:szCs w:val="28"/>
        </w:rPr>
        <w:t>микрофлюидных</w:t>
      </w:r>
      <w:proofErr w:type="spellEnd"/>
      <w:r w:rsidRPr="00067A31">
        <w:rPr>
          <w:szCs w:val="28"/>
        </w:rPr>
        <w:t xml:space="preserve"> систем</w:t>
      </w:r>
    </w:p>
    <w:p w:rsidR="00067A31" w:rsidRPr="00067A31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 xml:space="preserve">По п. 3.8 Плана-графика исполнения обязательств по Соглашению в принято участие в следующих конференциях: IV Всероссийский симпозиум с международным участием «Кинетика и динамика обменных процессов» (1-8 ноября 2015 г., Сочи, Россия), ETMN 2015 2nd </w:t>
      </w:r>
      <w:proofErr w:type="spellStart"/>
      <w:r w:rsidRPr="00067A31">
        <w:rPr>
          <w:szCs w:val="28"/>
        </w:rPr>
        <w:t>International</w:t>
      </w:r>
      <w:proofErr w:type="spellEnd"/>
      <w:r w:rsidRPr="00067A31">
        <w:rPr>
          <w:szCs w:val="28"/>
        </w:rPr>
        <w:t xml:space="preserve"> </w:t>
      </w:r>
      <w:proofErr w:type="spellStart"/>
      <w:r w:rsidRPr="00067A31">
        <w:rPr>
          <w:szCs w:val="28"/>
        </w:rPr>
        <w:t>Conference</w:t>
      </w:r>
      <w:proofErr w:type="spellEnd"/>
      <w:r w:rsidRPr="00067A31">
        <w:rPr>
          <w:szCs w:val="28"/>
        </w:rPr>
        <w:t xml:space="preserve"> </w:t>
      </w:r>
      <w:proofErr w:type="spellStart"/>
      <w:r w:rsidRPr="00067A31">
        <w:rPr>
          <w:szCs w:val="28"/>
        </w:rPr>
        <w:t>on</w:t>
      </w:r>
      <w:proofErr w:type="spellEnd"/>
      <w:r w:rsidRPr="00067A31">
        <w:rPr>
          <w:szCs w:val="28"/>
        </w:rPr>
        <w:t xml:space="preserve"> </w:t>
      </w:r>
      <w:proofErr w:type="spellStart"/>
      <w:r w:rsidRPr="00067A31">
        <w:rPr>
          <w:szCs w:val="28"/>
        </w:rPr>
        <w:t>Emerging</w:t>
      </w:r>
      <w:proofErr w:type="spellEnd"/>
      <w:r w:rsidRPr="00067A31">
        <w:rPr>
          <w:szCs w:val="28"/>
        </w:rPr>
        <w:t xml:space="preserve"> </w:t>
      </w:r>
      <w:proofErr w:type="spellStart"/>
      <w:r w:rsidRPr="00067A31">
        <w:rPr>
          <w:szCs w:val="28"/>
        </w:rPr>
        <w:t>Technologies</w:t>
      </w:r>
      <w:proofErr w:type="spellEnd"/>
      <w:r w:rsidRPr="00067A31">
        <w:rPr>
          <w:szCs w:val="28"/>
        </w:rPr>
        <w:t xml:space="preserve">: </w:t>
      </w:r>
      <w:proofErr w:type="spellStart"/>
      <w:r w:rsidRPr="00067A31">
        <w:rPr>
          <w:szCs w:val="28"/>
        </w:rPr>
        <w:t>Micro</w:t>
      </w:r>
      <w:proofErr w:type="spellEnd"/>
      <w:r w:rsidRPr="00067A31">
        <w:rPr>
          <w:szCs w:val="28"/>
        </w:rPr>
        <w:t xml:space="preserve"> </w:t>
      </w:r>
      <w:proofErr w:type="spellStart"/>
      <w:r w:rsidRPr="00067A31">
        <w:rPr>
          <w:szCs w:val="28"/>
        </w:rPr>
        <w:t>to</w:t>
      </w:r>
      <w:proofErr w:type="spellEnd"/>
      <w:r w:rsidRPr="00067A31">
        <w:rPr>
          <w:szCs w:val="28"/>
        </w:rPr>
        <w:t xml:space="preserve"> </w:t>
      </w:r>
      <w:proofErr w:type="spellStart"/>
      <w:r w:rsidRPr="00067A31">
        <w:rPr>
          <w:szCs w:val="28"/>
        </w:rPr>
        <w:t>Nano</w:t>
      </w:r>
      <w:proofErr w:type="spellEnd"/>
      <w:r w:rsidRPr="00067A31">
        <w:rPr>
          <w:szCs w:val="28"/>
        </w:rPr>
        <w:t xml:space="preserve"> 2015(24th </w:t>
      </w:r>
      <w:proofErr w:type="spellStart"/>
      <w:r w:rsidRPr="00067A31">
        <w:rPr>
          <w:szCs w:val="28"/>
        </w:rPr>
        <w:t>to</w:t>
      </w:r>
      <w:proofErr w:type="spellEnd"/>
      <w:r w:rsidRPr="00067A31">
        <w:rPr>
          <w:szCs w:val="28"/>
        </w:rPr>
        <w:t xml:space="preserve"> 25th </w:t>
      </w:r>
      <w:proofErr w:type="spellStart"/>
      <w:r w:rsidRPr="00067A31">
        <w:rPr>
          <w:szCs w:val="28"/>
        </w:rPr>
        <w:t>October</w:t>
      </w:r>
      <w:proofErr w:type="spellEnd"/>
      <w:r w:rsidRPr="00067A31">
        <w:rPr>
          <w:szCs w:val="28"/>
        </w:rPr>
        <w:t xml:space="preserve"> 2015 </w:t>
      </w:r>
      <w:proofErr w:type="spellStart"/>
      <w:r w:rsidRPr="00067A31">
        <w:rPr>
          <w:szCs w:val="28"/>
        </w:rPr>
        <w:t>Jaipur</w:t>
      </w:r>
      <w:proofErr w:type="spellEnd"/>
      <w:r w:rsidRPr="00067A31">
        <w:rPr>
          <w:szCs w:val="28"/>
        </w:rPr>
        <w:t xml:space="preserve">, </w:t>
      </w:r>
      <w:proofErr w:type="spellStart"/>
      <w:r w:rsidRPr="00067A31">
        <w:rPr>
          <w:szCs w:val="28"/>
        </w:rPr>
        <w:t>Rajasthan</w:t>
      </w:r>
      <w:proofErr w:type="spellEnd"/>
      <w:r w:rsidRPr="00067A31">
        <w:rPr>
          <w:szCs w:val="28"/>
        </w:rPr>
        <w:t xml:space="preserve">, </w:t>
      </w:r>
      <w:proofErr w:type="spellStart"/>
      <w:r w:rsidRPr="00067A31">
        <w:rPr>
          <w:szCs w:val="28"/>
        </w:rPr>
        <w:t>India</w:t>
      </w:r>
      <w:proofErr w:type="spellEnd"/>
      <w:r w:rsidRPr="00067A31">
        <w:rPr>
          <w:szCs w:val="28"/>
        </w:rPr>
        <w:t>).</w:t>
      </w:r>
    </w:p>
    <w:p w:rsidR="00922ADF" w:rsidRDefault="00067A31" w:rsidP="00067A31">
      <w:pPr>
        <w:spacing w:line="276" w:lineRule="auto"/>
        <w:rPr>
          <w:szCs w:val="28"/>
        </w:rPr>
      </w:pPr>
      <w:r w:rsidRPr="00067A31">
        <w:rPr>
          <w:szCs w:val="28"/>
        </w:rPr>
        <w:t>По п. 3.9 Плана-графика исполнения обязательств по Соглашению подготовлено 2 заявки на патенты</w:t>
      </w:r>
    </w:p>
    <w:p w:rsidR="001446E0" w:rsidRDefault="001446E0" w:rsidP="009431E6">
      <w:pPr>
        <w:spacing w:line="276" w:lineRule="auto"/>
      </w:pPr>
      <w:r>
        <w:t>При этом были получены следующие результаты:</w:t>
      </w:r>
    </w:p>
    <w:p w:rsidR="00067A31" w:rsidRDefault="00067A31" w:rsidP="00067A31">
      <w:pPr>
        <w:spacing w:line="276" w:lineRule="auto"/>
      </w:pPr>
      <w:proofErr w:type="gramStart"/>
      <w:r>
        <w:lastRenderedPageBreak/>
        <w:t>В результате и</w:t>
      </w:r>
      <w:r w:rsidRPr="009005C8">
        <w:t>сследовани</w:t>
      </w:r>
      <w:r>
        <w:t>я</w:t>
      </w:r>
      <w:r w:rsidRPr="009005C8">
        <w:t xml:space="preserve"> газодинамических и сорбционных процессов в </w:t>
      </w:r>
      <w:proofErr w:type="spellStart"/>
      <w:r w:rsidRPr="009005C8">
        <w:t>микроканалах</w:t>
      </w:r>
      <w:proofErr w:type="spellEnd"/>
      <w:r w:rsidRPr="009005C8">
        <w:t>, заполненных сорбционными материалами различной природы и геометрии</w:t>
      </w:r>
      <w:r>
        <w:t xml:space="preserve"> установлено, что </w:t>
      </w:r>
      <w:r w:rsidRPr="00E86D34">
        <w:t xml:space="preserve">зависимость расхода </w:t>
      </w:r>
      <w:r w:rsidRPr="002870D2">
        <w:t>воздуха</w:t>
      </w:r>
      <w:r w:rsidRPr="00E86D34">
        <w:t xml:space="preserve"> через канал от пористости </w:t>
      </w:r>
      <w:r>
        <w:t>имеет экспоненциальный вид:</w:t>
      </w:r>
      <w:r w:rsidRPr="00511502">
        <w:t xml:space="preserve"> </w:t>
      </w:r>
      <w:r w:rsidRPr="000B6351">
        <w:t>с увеличением насыпной плотности с 0,368 до 1,84 г/см</w:t>
      </w:r>
      <w:r w:rsidRPr="00067A31">
        <w:t>3</w:t>
      </w:r>
      <w:r w:rsidRPr="000B6351">
        <w:t xml:space="preserve"> расход воздуха снижается в 58-63 раз</w:t>
      </w:r>
      <w:r>
        <w:t xml:space="preserve">а, что существенно повлияет на процессы теплопередачи при течении газа через </w:t>
      </w:r>
      <w:proofErr w:type="spellStart"/>
      <w:r>
        <w:t>микроканалы</w:t>
      </w:r>
      <w:proofErr w:type="spellEnd"/>
      <w:r>
        <w:t xml:space="preserve">. </w:t>
      </w:r>
      <w:r w:rsidRPr="00067A31">
        <w:t>эффективность колонки формы “спираль” в</w:t>
      </w:r>
      <w:proofErr w:type="gramEnd"/>
      <w:r w:rsidRPr="00067A31">
        <w:t xml:space="preserve"> </w:t>
      </w:r>
      <w:proofErr w:type="gramStart"/>
      <w:r w:rsidRPr="00067A31">
        <w:t>среднем</w:t>
      </w:r>
      <w:proofErr w:type="gramEnd"/>
      <w:r w:rsidRPr="00067A31">
        <w:t xml:space="preserve"> на 20% выше, при этом расход газа-носителя также выше (в среднем на 5%). Изучение зависимости эффективности колонок от формы канала показа, что для колонок формы “серпантин” выявило уменьшение эффективности </w:t>
      </w:r>
      <w:proofErr w:type="gramStart"/>
      <w:r w:rsidRPr="00067A31">
        <w:t>при</w:t>
      </w:r>
      <w:proofErr w:type="gramEnd"/>
      <w:r w:rsidRPr="00067A31">
        <w:t xml:space="preserve"> повышенном </w:t>
      </w:r>
      <w:proofErr w:type="spellStart"/>
      <w:r w:rsidRPr="00067A31">
        <w:t>пневмосопротивлении</w:t>
      </w:r>
      <w:proofErr w:type="spellEnd"/>
      <w:r w:rsidRPr="00067A31">
        <w:t xml:space="preserve">, что  обусловлено неравномерностью потока газа на перегибах серпантина. Сравнительная оценка сорбционных свойств разработанных и  коммерческой колонок показала, что </w:t>
      </w:r>
      <w:r>
        <w:t>изготовленные колонки обладают более высокой удельной эффективностью и разделительной способностью.</w:t>
      </w:r>
    </w:p>
    <w:p w:rsidR="00067A31" w:rsidRDefault="00067A31" w:rsidP="00067A31">
      <w:pPr>
        <w:spacing w:line="276" w:lineRule="auto"/>
      </w:pPr>
      <w:r>
        <w:t xml:space="preserve">При изучении газодинамических и сорбционных свойств планарной </w:t>
      </w:r>
      <w:proofErr w:type="spellStart"/>
      <w:r>
        <w:t>монокапиллярной</w:t>
      </w:r>
      <w:proofErr w:type="spellEnd"/>
      <w:r>
        <w:t xml:space="preserve"> газохроматографической колонки, </w:t>
      </w:r>
      <w:proofErr w:type="gramStart"/>
      <w:r>
        <w:t>минимальная</w:t>
      </w:r>
      <w:proofErr w:type="gramEnd"/>
      <w:r>
        <w:t xml:space="preserve"> ВЭТТ составила 1,86 </w:t>
      </w:r>
      <w:r w:rsidRPr="00067A31">
        <w:t>(</w:t>
      </w:r>
      <w:proofErr w:type="spellStart"/>
      <w:r w:rsidRPr="00067A31">
        <w:t>сорбат</w:t>
      </w:r>
      <w:proofErr w:type="spellEnd"/>
      <w:r w:rsidRPr="00067A31">
        <w:t xml:space="preserve"> – </w:t>
      </w:r>
      <w:proofErr w:type="spellStart"/>
      <w:r w:rsidRPr="00067A31">
        <w:t>гексан</w:t>
      </w:r>
      <w:proofErr w:type="spellEnd"/>
      <w:r w:rsidRPr="00067A31">
        <w:t xml:space="preserve">; </w:t>
      </w:r>
      <w:proofErr w:type="gramStart"/>
      <w:r w:rsidRPr="00067A31">
        <w:t xml:space="preserve">температура колонки – 40 °С), при этом показана возможность разделения модельной смеси из 8-ми органических компонентов алифатической и ароматической природы менее чем за 5 мин. </w:t>
      </w:r>
      <w:r>
        <w:t xml:space="preserve">Изучены газодинамические и сорбционные свойства планарной </w:t>
      </w:r>
      <w:proofErr w:type="spellStart"/>
      <w:r>
        <w:t>поликапиллярной</w:t>
      </w:r>
      <w:proofErr w:type="spellEnd"/>
      <w:r>
        <w:t xml:space="preserve"> газохроматографической колонки, </w:t>
      </w:r>
      <w:r w:rsidRPr="00067A31">
        <w:t xml:space="preserve">зависимость ВЭТТ для </w:t>
      </w:r>
      <w:proofErr w:type="spellStart"/>
      <w:r w:rsidRPr="00067A31">
        <w:t>поликапиллярной</w:t>
      </w:r>
      <w:proofErr w:type="spellEnd"/>
      <w:r w:rsidRPr="00067A31">
        <w:t xml:space="preserve"> </w:t>
      </w:r>
      <w:proofErr w:type="spellStart"/>
      <w:r w:rsidRPr="00067A31">
        <w:t>микрохроматографической</w:t>
      </w:r>
      <w:proofErr w:type="spellEnd"/>
      <w:r w:rsidRPr="00067A31">
        <w:t xml:space="preserve"> колонки имеет более пологий вид, нежели чем зависимость для </w:t>
      </w:r>
      <w:proofErr w:type="spellStart"/>
      <w:r w:rsidRPr="00067A31">
        <w:t>монокапилляра</w:t>
      </w:r>
      <w:proofErr w:type="spellEnd"/>
      <w:r w:rsidRPr="00067A31">
        <w:t>, так при изменении расхода газа-носителя в 40 раз эффективность колонки уменьшается менее</w:t>
      </w:r>
      <w:proofErr w:type="gramEnd"/>
      <w:r w:rsidRPr="00067A31">
        <w:t xml:space="preserve"> чем в два раза. Данная особенность обуславливает возможность значительного сокращения времени анализа, показана возможность разделения модельной смеси </w:t>
      </w:r>
      <w:proofErr w:type="spellStart"/>
      <w:r w:rsidRPr="00067A31">
        <w:t>гексана</w:t>
      </w:r>
      <w:proofErr w:type="spellEnd"/>
      <w:r w:rsidRPr="00067A31">
        <w:t>, гептана и октана менее чем за 30 секунд.</w:t>
      </w:r>
    </w:p>
    <w:p w:rsidR="00067A31" w:rsidRPr="00067A31" w:rsidRDefault="00067A31" w:rsidP="00067A31">
      <w:pPr>
        <w:spacing w:line="276" w:lineRule="auto"/>
      </w:pPr>
      <w:r>
        <w:t xml:space="preserve">По результатам проведенных исследований </w:t>
      </w:r>
      <w:r w:rsidRPr="00067A31">
        <w:t xml:space="preserve">разработаны конструкции </w:t>
      </w:r>
      <w:proofErr w:type="spellStart"/>
      <w:r>
        <w:t>микродозаторов</w:t>
      </w:r>
      <w:proofErr w:type="spellEnd"/>
      <w:r>
        <w:t xml:space="preserve"> газовых проб,</w:t>
      </w:r>
      <w:r w:rsidRPr="00FA70C7">
        <w:t xml:space="preserve"> </w:t>
      </w:r>
      <w:proofErr w:type="spellStart"/>
      <w:r w:rsidRPr="00FA70C7">
        <w:t>хроматографически</w:t>
      </w:r>
      <w:r>
        <w:t>х</w:t>
      </w:r>
      <w:proofErr w:type="spellEnd"/>
      <w:r>
        <w:t xml:space="preserve"> </w:t>
      </w:r>
      <w:proofErr w:type="spellStart"/>
      <w:r>
        <w:t>микроколонок</w:t>
      </w:r>
      <w:proofErr w:type="spellEnd"/>
      <w:r>
        <w:t xml:space="preserve"> на плоских пластинах, термоэлементов </w:t>
      </w:r>
      <w:proofErr w:type="spellStart"/>
      <w:r>
        <w:t>микрофлюидных</w:t>
      </w:r>
      <w:proofErr w:type="spellEnd"/>
      <w:r>
        <w:t xml:space="preserve"> систем. </w:t>
      </w:r>
      <w:proofErr w:type="spellStart"/>
      <w:r w:rsidRPr="00067A31">
        <w:t>Микродозатор</w:t>
      </w:r>
      <w:proofErr w:type="spellEnd"/>
      <w:r w:rsidRPr="00067A31">
        <w:t xml:space="preserve"> газовых проб представляет собой  плоскую пластину с каналами для газовых потоков и установленными </w:t>
      </w:r>
      <w:proofErr w:type="spellStart"/>
      <w:r w:rsidRPr="00067A31">
        <w:t>пневмораспределителями</w:t>
      </w:r>
      <w:proofErr w:type="spellEnd"/>
      <w:r w:rsidRPr="00067A31">
        <w:t xml:space="preserve"> с электрическим управлением, содержит также плоскую пластину для герметизации этих каналов и дозу фиксированного объема. </w:t>
      </w:r>
      <w:proofErr w:type="spellStart"/>
      <w:r>
        <w:t>Хроматографические</w:t>
      </w:r>
      <w:proofErr w:type="spellEnd"/>
      <w:r>
        <w:t xml:space="preserve"> </w:t>
      </w:r>
      <w:proofErr w:type="spellStart"/>
      <w:r>
        <w:t>микроколонки</w:t>
      </w:r>
      <w:proofErr w:type="spellEnd"/>
      <w:r>
        <w:t xml:space="preserve"> представляют собой </w:t>
      </w:r>
      <w:proofErr w:type="spellStart"/>
      <w:r>
        <w:t>микроканалы</w:t>
      </w:r>
      <w:proofErr w:type="spellEnd"/>
      <w:r>
        <w:t xml:space="preserve"> формы «серпантин», изготовленные на алюминиевых и стеклянных пластинах. Каналы могут быть заполнены сорбентами широкого круга в зависимости от аналитической задачи. </w:t>
      </w:r>
      <w:r>
        <w:lastRenderedPageBreak/>
        <w:t xml:space="preserve">Термоэлементы представляют собой </w:t>
      </w:r>
      <w:proofErr w:type="spellStart"/>
      <w:r>
        <w:t>нанопленки</w:t>
      </w:r>
      <w:proofErr w:type="spellEnd"/>
      <w:r>
        <w:t xml:space="preserve"> алюминия, нанесенные методом магнетронного напыления на </w:t>
      </w:r>
      <w:proofErr w:type="spellStart"/>
      <w:r>
        <w:t>полиимидный</w:t>
      </w:r>
      <w:proofErr w:type="spellEnd"/>
      <w:r>
        <w:t xml:space="preserve"> скотч. Данная конструкция позволяет варьировать форму и размеры термоэлементов в зависимости от </w:t>
      </w:r>
      <w:r w:rsidRPr="00067A31">
        <w:t xml:space="preserve">габаритов </w:t>
      </w:r>
      <w:proofErr w:type="spellStart"/>
      <w:r w:rsidRPr="00067A31">
        <w:t>термостатируемого</w:t>
      </w:r>
      <w:proofErr w:type="spellEnd"/>
      <w:r w:rsidRPr="00067A31">
        <w:t xml:space="preserve"> узла </w:t>
      </w:r>
      <w:proofErr w:type="spellStart"/>
      <w:r w:rsidRPr="00067A31">
        <w:t>микрофлюидной</w:t>
      </w:r>
      <w:proofErr w:type="spellEnd"/>
      <w:r w:rsidRPr="00067A31">
        <w:t xml:space="preserve"> системы.</w:t>
      </w:r>
    </w:p>
    <w:p w:rsidR="00067A31" w:rsidRDefault="00067A31" w:rsidP="00067A31">
      <w:pPr>
        <w:spacing w:line="276" w:lineRule="auto"/>
      </w:pPr>
      <w:r w:rsidRPr="00067A31">
        <w:t xml:space="preserve">В рамках 3-его этапа ПНИ разработаны </w:t>
      </w:r>
      <w:r>
        <w:t>техническое задание на изготовление стенда для экспериментальных</w:t>
      </w:r>
      <w:r w:rsidRPr="009005C8">
        <w:t xml:space="preserve"> </w:t>
      </w:r>
      <w:r>
        <w:t xml:space="preserve">исследований </w:t>
      </w:r>
      <w:proofErr w:type="spellStart"/>
      <w:r>
        <w:t>микрофлюидных</w:t>
      </w:r>
      <w:proofErr w:type="spellEnd"/>
      <w:r>
        <w:t xml:space="preserve"> систем, программа и методики экспериментального исследования </w:t>
      </w:r>
      <w:proofErr w:type="spellStart"/>
      <w:r>
        <w:t>микрофлюидных</w:t>
      </w:r>
      <w:proofErr w:type="spellEnd"/>
      <w:r>
        <w:t xml:space="preserve"> систем, изготовлен стенд для экспериментальных</w:t>
      </w:r>
      <w:r w:rsidRPr="009005C8">
        <w:t xml:space="preserve"> </w:t>
      </w:r>
      <w:r>
        <w:t xml:space="preserve">исследований </w:t>
      </w:r>
      <w:proofErr w:type="spellStart"/>
      <w:r>
        <w:t>микрофлюидных</w:t>
      </w:r>
      <w:proofErr w:type="spellEnd"/>
      <w:r>
        <w:t xml:space="preserve"> систем и разработан инструкция по его эксплуатации. Полученные результаты будут использованы для экспериментального изучения разработанных </w:t>
      </w:r>
      <w:proofErr w:type="spellStart"/>
      <w:r>
        <w:t>микрофлюидных</w:t>
      </w:r>
      <w:proofErr w:type="spellEnd"/>
      <w:r>
        <w:t xml:space="preserve"> систем.</w:t>
      </w:r>
    </w:p>
    <w:p w:rsidR="00922ADF" w:rsidRDefault="00922ADF" w:rsidP="009431E6">
      <w:pPr>
        <w:spacing w:line="276" w:lineRule="auto"/>
      </w:pPr>
      <w:r>
        <w:rPr>
          <w:color w:val="000000"/>
          <w:szCs w:val="28"/>
        </w:rPr>
        <w:t xml:space="preserve">В дальнейшем данные конструкционные элементы будут объединены в экспериментальные образцы </w:t>
      </w:r>
      <w:proofErr w:type="spellStart"/>
      <w:r>
        <w:rPr>
          <w:color w:val="000000"/>
          <w:szCs w:val="28"/>
        </w:rPr>
        <w:t>микрофлюидных</w:t>
      </w:r>
      <w:proofErr w:type="spellEnd"/>
      <w:r>
        <w:rPr>
          <w:color w:val="000000"/>
          <w:szCs w:val="28"/>
        </w:rPr>
        <w:t xml:space="preserve"> систем для газового анализа, что будет способствовать совершенствованию аналитического приборостроения с целью проведения экологического мониторинга в русле</w:t>
      </w:r>
      <w:r>
        <w:t xml:space="preserve"> </w:t>
      </w:r>
      <w:r>
        <w:rPr>
          <w:color w:val="000000"/>
          <w:szCs w:val="28"/>
        </w:rPr>
        <w:t>современных подходов и мировых тенденций.</w:t>
      </w:r>
      <w:r>
        <w:t xml:space="preserve"> </w:t>
      </w:r>
    </w:p>
    <w:p w:rsidR="0019709B" w:rsidRDefault="0019709B" w:rsidP="009431E6">
      <w:pPr>
        <w:spacing w:line="276" w:lineRule="auto"/>
      </w:pPr>
      <w:r w:rsidRPr="0019709B">
        <w:t>Проведённые работы и полученные результаты соответствуют требованиям технического задания и выполнены в полном объеме.</w:t>
      </w:r>
    </w:p>
    <w:p w:rsidR="001446E0" w:rsidRDefault="001446E0" w:rsidP="009431E6">
      <w:pPr>
        <w:spacing w:line="276" w:lineRule="auto"/>
      </w:pPr>
      <w:r>
        <w:t xml:space="preserve">Комиссия </w:t>
      </w:r>
      <w:proofErr w:type="spellStart"/>
      <w:r>
        <w:t>Минобрнауки</w:t>
      </w:r>
      <w:proofErr w:type="spellEnd"/>
      <w:r>
        <w:t xml:space="preserve"> России признала обязательства по Соглашению на отчетном этапе исполненными надлежащим образом.</w:t>
      </w:r>
    </w:p>
    <w:p w:rsidR="001446E0" w:rsidRDefault="001446E0" w:rsidP="009431E6">
      <w:pPr>
        <w:spacing w:line="276" w:lineRule="auto"/>
      </w:pPr>
    </w:p>
    <w:sectPr w:rsidR="0014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E6"/>
    <w:rsid w:val="00067A31"/>
    <w:rsid w:val="001446E0"/>
    <w:rsid w:val="0019709B"/>
    <w:rsid w:val="004115F6"/>
    <w:rsid w:val="00750BE6"/>
    <w:rsid w:val="00836BC5"/>
    <w:rsid w:val="00922ADF"/>
    <w:rsid w:val="009431E6"/>
    <w:rsid w:val="00C135E1"/>
    <w:rsid w:val="00FA26BC"/>
    <w:rsid w:val="00FB42F4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2016-02-16T15:10:00Z</dcterms:created>
  <dcterms:modified xsi:type="dcterms:W3CDTF">2016-07-20T12:01:00Z</dcterms:modified>
</cp:coreProperties>
</file>