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1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16"/>
        <w:tblGridChange w:id="0">
          <w:tblGrid>
            <w:gridCol w:w="10716"/>
          </w:tblGrid>
        </w:tblGridChange>
      </w:tblGrid>
      <w:tr>
        <w:tc>
          <w:tcPr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mallCaps w:val="0"/>
                <w:sz w:val="2"/>
                <w:szCs w:val="2"/>
                <w:rtl w:val="0"/>
              </w:rPr>
              <w:t xml:space="preserve">\ql</w:t>
            </w:r>
            <w:r w:rsidDel="00000000" w:rsidR="00000000" w:rsidRPr="00000000">
              <w:drawing>
                <wp:inline distB="0" distT="0" distL="114300" distR="114300">
                  <wp:extent cx="3810000" cy="90487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z w:val="48"/>
                <w:szCs w:val="48"/>
                <w:rtl w:val="0"/>
              </w:rPr>
              <w:t xml:space="preserve">Распоряжение Правительства РФ от 06.01.2015 N 7-р</w:t>
              <w:br w:type="textWrapping"/>
              <w:t xml:space="preserve">&lt;Об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экономики&gt;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ahoma" w:cs="Tahoma" w:eastAsia="Tahoma" w:hAnsi="Tahoma"/>
                <w:smallCaps w:val="0"/>
                <w:sz w:val="28"/>
                <w:szCs w:val="28"/>
                <w:rtl w:val="0"/>
              </w:rPr>
              <w:t xml:space="preserve">Документ предоставлен </w:t>
            </w:r>
            <w:hyperlink r:id="rId6">
              <w:r w:rsidDel="00000000" w:rsidR="00000000" w:rsidRPr="00000000">
                <w:rPr>
                  <w:rFonts w:ascii="Tahoma" w:cs="Tahoma" w:eastAsia="Tahoma" w:hAnsi="Tahoma"/>
                  <w:b w:val="1"/>
                  <w:smallCaps w:val="0"/>
                  <w:color w:val="0000ff"/>
                  <w:sz w:val="28"/>
                  <w:szCs w:val="28"/>
                  <w:rtl w:val="0"/>
                </w:rPr>
                <w:t xml:space="preserve">КонсультантПлюс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z w:val="28"/>
                <w:szCs w:val="28"/>
                <w:rtl w:val="0"/>
              </w:rPr>
              <w:br w:type="textWrapping"/>
              <w:br w:type="textWrapping"/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smallCaps w:val="0"/>
                  <w:color w:val="0000ff"/>
                  <w:sz w:val="28"/>
                  <w:szCs w:val="28"/>
                  <w:rtl w:val="0"/>
                </w:rPr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sz w:val="28"/>
                <w:szCs w:val="28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mallCaps w:val="0"/>
                <w:sz w:val="28"/>
                <w:szCs w:val="28"/>
                <w:rtl w:val="0"/>
              </w:rPr>
              <w:t xml:space="preserve">Дата сохранения: 26.01.2015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РАСПОРЯЖЕНИЕ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6 января 2015 г. N 7-р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1. Утвердить прилагаемый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перечень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2. Признать утратившим силу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vertAlign w:val="baseline"/>
          <w:rtl w:val="0"/>
        </w:rPr>
        <w:t xml:space="preserve">распоряжение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Правительства Российской Федерации от 3 ноября 2011 г. N 1944-р (Собрание законодательства Российской Федерации, 2011, N 46, ст. 6584).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Д.МЕДВЕДЕВ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bookmarkStart w:colFirst="0" w:colLast="0" w:name="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распоряжением Правительства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от 6 января 2015 г. N 7-р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bookmarkStart w:colFirst="0" w:colLast="0" w:name="id.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ПЕРЕЧЕНЬ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СПЕЦИАЛЬНОСТЕЙ И НАПРАВЛЕНИЙ ПОДГОТОВКИ ВЫСШЕГО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ОБРАЗОВАНИЯ, СООТВЕТСТВУЮЩИХ ПРИОРИТЕТНЫМ НАПРАВЛЕНИЯМ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МОДЕРНИЗАЦИИ И ТЕХНОЛОГИЧЕСКОГО РАЗВИТИЯ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РОССИЙСКОЙ ЭКОНОМИКИ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98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3"/>
        <w:gridCol w:w="7795.999999999999"/>
        <w:tblGridChange w:id="0">
          <w:tblGrid>
            <w:gridCol w:w="1903"/>
            <w:gridCol w:w="7795.999999999999"/>
          </w:tblGrid>
        </w:tblGridChange>
      </w:tblGrid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Код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Наименование</w:t>
            </w:r>
          </w:p>
        </w:tc>
      </w:tr>
      <w:tr>
        <w:tc>
          <w:tcPr>
            <w:gridSpan w:val="2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bookmarkStart w:colFirst="0" w:colLast="0" w:name="id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1. Направления подготовки высшего образования - бакалавриата,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01.03.04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Прикладная математика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Информатика и вычислительная 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Информационные системы и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09.03.04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Программная инженерия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Информационная безопасность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Радиотехника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Инфокоммуникационные технологии и системы связи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11.03.03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Конструирование и технология электронных средств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11.03.04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Электроника и наноэлектроника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Приборостроение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Оптотехника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12.03.03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Фотоника и оптоинформатика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12.03.04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Биотехнические системы и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12.03.05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Лазерная техника и лазерные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Электроэнергетика и электротехника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13.03.03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Энергетическое машиностроение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Ядерные физика и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15.03.04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Автоматизация технологических процессов и производств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15.03.06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Мехатроника и робототехника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Техническая физика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Высокотехнологические плазменные и энергетические установки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16.03.03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Холодильная, криогенная техника и системы жизнеобеспечения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Химическая технология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Энерго- и ресурсосберегающие процессы в химической технологии, нефтехимии и биотехнологии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19.03.01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Биотехнология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22.03.01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Материаловедение и технологии материалов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23.03.02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Наземные транспортно-технологические комплексы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23.03.03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Эксплуатация транспортно-технологических машин и комплексов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Ракетные комплексы и космонавтика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24.03.03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Баллистика и гидроаэродинамика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24.03.05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Двигатели летательных аппаратов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Техническая эксплуатация летательных аппаратов и двигателей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Техническая эксплуатация авиационных электросистем и пилотажно-навигационных комплексов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28.03.01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Нанотехнологии и микросистемная 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28.03.02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Наноинженерия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28.03.03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Наноматериалы</w:t>
            </w:r>
          </w:p>
        </w:tc>
      </w:tr>
      <w:tr>
        <w:tc>
          <w:tcPr>
            <w:gridSpan w:val="2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bookmarkStart w:colFirst="0" w:colLast="0" w:name="id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01.04.04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Прикладная математика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Информатика и вычислительная 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Информационные системы и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09.04.04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Программная инженерия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Информационная безопасность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Радиотехника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Инфокоммуникационные технологии и системы связи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11.04.03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Конструирование и технология электронных средств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11.04.04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Электроника и наноэлектроника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Приборостроение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Оптотехника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12.04.03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Фотоника и оптоинформатика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12.04.04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Биотехнические системы и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12.04.05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Лазерная техника и лазерные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Теплоэнергетика и теплотехника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Электроэнергетика и электротехника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13.04.03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Энергетическое машиностроение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Ядерная энергетика и теплофизика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Ядерные физика и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15.04.04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Автоматизация технологических процессов и производств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15.04.06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Мехатроника и робототехника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Техническая физика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Высокотехнологические плазменные и энергетические установки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16.04.03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Холодильная, криогенная техника и системы жизнеобеспечения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Химическая технология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Энерго- и ресурсосберегающие процессы в химической технологии, нефтехимии и биотехнологии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19.04.01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Биотехнология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22.04.01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Материаловедение и технологии материалов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23.04.02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Наземные транспортно-технологические комплексы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23.04.03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Эксплуатация транспортно-технологических машин и комплексов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Ракетные комплексы и космонавтика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24.04.03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Баллистика и гидроаэродинамика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24.04.05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Двигатели летательных аппаратов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Техническая эксплуатация летательных аппаратов и двигателей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Техническая эксплуатация авиационных электросистем и пилотажно-навигационных комплексов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28.04.01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Нанотехнологии и микросистемная 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28.04.02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Наноинженерия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28.04.03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Наноматериалы</w:t>
            </w:r>
          </w:p>
        </w:tc>
      </w:tr>
      <w:tr>
        <w:tc>
          <w:tcPr>
            <w:gridSpan w:val="2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bookmarkStart w:colFirst="0" w:colLast="0" w:name="id.tyjcwt" w:id="5"/>
            <w:bookmarkEnd w:id="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3. Специальности высшего образования - специалитета,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Компьютерная безопасность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10.05.02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Информационная безопасность телекоммуникационных систем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10.05.03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Информационная безопасность автоматизированных систем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10.05.04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Информационно-аналитические системы безопасности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10.05.05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Безопасность информационных технологий в правоохранительной сфере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10.05.06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Криптография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10.05.07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Противодействие техническим разведкам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Радиоэлектронные системы и комплексы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11.05.02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Специальные радиотехнические системы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11.05.04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Инфокоммуникационные технологии и системы специальной связи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Электронные и оптико-электронные приборы и системы специального назначения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Тепло- и электрообеспечение специальных технических систем и объектов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13.05.02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Специальные электромеханические системы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Ядерные реакторы и материалы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14.05.02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Атомные станции: проектирование, эксплуатация и инжиниринг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14.05.03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Технологии разделения изотопов и ядерное топливо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14.05.04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Электроника и автоматика физических установок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Проектирование технологических машин и комплексов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Специальные системы жизнеобеспечения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Химическая технология энергонасыщенных материалов и изделий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18.05.02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Химическая технология материалов современной энергетики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23.05.01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Наземные транспортно-технологические средства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23.05.02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Транспортные средства специального назначения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Проектирование, производство и эксплуатация ракет и ракетно-космических комплексов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24.05.02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Проектирование авиационных и ракетных двигателей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24.05.03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Испытание летательных аппаратов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24.05.04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Навигационно-баллистическое обеспечение применения космической техники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24.05.05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Интегрированные системы летательных аппаратов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24.05.06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Системы управления летательными аппаратами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25.05.03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Техническая эксплуатация транспортного радиооборудования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30.05.01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Медицинская биохимия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30.05.02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Медицинская биофизика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30.05.03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Медицинская кибернетика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33.05.01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Фармация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56.05.02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Радиационная, химическая и биологическая защита</w:t>
            </w:r>
          </w:p>
        </w:tc>
      </w:tr>
      <w:tr>
        <w:tc>
          <w:tcPr>
            <w:gridSpan w:val="2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bookmarkStart w:colFirst="0" w:colLast="0" w:name="id.3dy6vkm" w:id="6"/>
            <w:bookmarkEnd w:id="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01.06.01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Математика и механика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02.06.01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Компьютерные и информационные науки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02.07.01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Компьютерные и информационные науки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03.06.01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Физика и астрономия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06.06.01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Биологические науки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06.07.01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Биологические науки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08.06.01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Техника и технологии строительства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08.07.01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Техника и технологии строительства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Информатика и вычислительная 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Информатика и вычислительная 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Информационная безопасность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Информационная безопасность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Электроника, радиотехника и системы связи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Электроника, радиотехника и системы связи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Фотоника, приборостроение, оптические и биотехнические системы и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Электро- и теплотехника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Ядерная, тепловая и возобновляемая энергетика и сопутствующие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Машиностроение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Физико-технические науки и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17.06.01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Оружие и системы вооружения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17.07.01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Оружие и системы вооружения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Химическая технология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Химическая технология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20.06.01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Техносферная безопасность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20.07.01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Техносферная безопасность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21.06.01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Геология, разведка и разработка полезных ископаемых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22.06.01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Технологии материалов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Авиационная и ракетно-космическая техника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Авиационная техника и технологии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24.07.02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Ракетно-космическая техника и технология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25.06.01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Аэронавигация и эксплуатация авиационной и ракетно-космической техники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27.06.01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Управление в технических системах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28.06.01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Нанотехнологии и наноматериалы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30.06.01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Фундаментальная медицина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30.07.01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Фундаментальная медицина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31.06.01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Клиническая медицина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31.07.01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Клиническая медицина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32.06.01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Медико-профилактическое дело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32.07.01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Медико-профилактическое дело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33.06.01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Фармация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33.07.01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Фармация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35.06.04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Технологии, средства механизации и энергетическое оборудование в сельском, лесном и рыбном хозяйстве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45.06.01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Языкознание и литературоведение</w:t>
            </w:r>
          </w:p>
        </w:tc>
      </w:tr>
      <w:tr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57.07.01</w:t>
            </w:r>
          </w:p>
        </w:tc>
        <w:tc>
          <w:tcPr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Обеспечение государственной безопасности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10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40" w:top="1440" w:left="1133" w:right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Tahoma">
    <w:embedRegular r:id="rId1" w:subsetted="0"/>
    <w:embedBold r:id="rId2" w:subsetted="0"/>
  </w:font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4"/>
      <w:bidi w:val="0"/>
      <w:tblW w:w="10207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color w:val="333399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  <w:jc w:val="center"/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smallCaps w:val="0"/>
                <w:color w:val="0000ff"/>
                <w:sz w:val="20"/>
                <w:szCs w:val="20"/>
                <w:rtl w:val="0"/>
              </w:rPr>
              <w:t xml:space="preserve">www.consultant.ru</w:t>
            </w:r>
          </w:hyperlink>
        </w:p>
      </w:tc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Страница </w:t>
          </w:r>
          <w:fldSimple w:instr="PAGE" w:fldLock="0" w:dirty="0">
            <w:r w:rsidDel="00000000" w:rsidR="00000000" w:rsidRPr="00000000">
              <w:rPr>
                <w:rFonts w:ascii="Tahoma" w:cs="Tahoma" w:eastAsia="Tahoma" w:hAnsi="Tahoma"/>
                <w:smallCaps w:val="0"/>
                <w:sz w:val="20"/>
                <w:szCs w:val="20"/>
              </w:rPr>
            </w:r>
          </w:fldSimple>
          <w:r w:rsidDel="00000000" w:rsidR="00000000" w:rsidRPr="00000000">
            <w:rPr>
              <w:rFonts w:ascii="Tahoma" w:cs="Tahoma" w:eastAsia="Tahoma" w:hAnsi="Tahoma"/>
              <w:smallCaps w:val="0"/>
              <w:sz w:val="20"/>
              <w:szCs w:val="20"/>
              <w:rtl w:val="0"/>
            </w:rPr>
            <w:t xml:space="preserve"> из </w:t>
          </w:r>
          <w:fldSimple w:instr="NUMPAGES" w:fldLock="0" w:dirty="0">
            <w:r w:rsidDel="00000000" w:rsidR="00000000" w:rsidRPr="00000000">
              <w:rPr>
                <w:rFonts w:ascii="Tahoma" w:cs="Tahoma" w:eastAsia="Tahoma" w:hAnsi="Tahoma"/>
                <w:smallCaps w:val="0"/>
                <w:sz w:val="20"/>
                <w:szCs w:val="20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10207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</w:pP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Распоряжение Правительства РФ от 06.01.2015 N 7-р</w:t>
            <w:br w:type="textWrapping"/>
            <w:t xml:space="preserve">&lt;Об утверждении перечня специальностей и направлений подготовки высшег...</w:t>
          </w:r>
        </w:p>
      </w:tc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40.0" w:type="dxa"/>
            <w:right w:w="40.0" w:type="dxa"/>
          </w:tcMar>
          <w:vAlign w:val="center"/>
        </w:tcPr>
        <w:p w:rsidR="00000000" w:rsidDel="00000000" w:rsidP="00000000" w:rsidRDefault="00000000" w:rsidRPr="00000000">
          <w:pPr>
            <w:contextualSpacing w:val="0"/>
            <w:jc w:val="right"/>
          </w:pPr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ahoma" w:cs="Tahoma" w:eastAsia="Tahoma" w:hAnsi="Tahoma"/>
                <w:smallCaps w:val="0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mallCaps w:val="0"/>
              <w:sz w:val="16"/>
              <w:szCs w:val="16"/>
              <w:rtl w:val="0"/>
            </w:rPr>
            <w:t xml:space="preserve">Дата сохранения: 26.01.2015</w:t>
          </w:r>
        </w:p>
      </w:tc>
    </w:tr>
  </w:tbl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.xml"/><Relationship Id="rId5" Type="http://schemas.openxmlformats.org/officeDocument/2006/relationships/image" Target="media/image01.png"/><Relationship Id="rId6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8" Type="http://schemas.openxmlformats.org/officeDocument/2006/relationships/header" Target="head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nsultant.ru" TargetMode="External"/></Relationships>
</file>