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 О ПРОВЕДЕНИИ ВНУТРИВУЗОВСКОГО ЭТАПА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ВСЕРОССИЙСКОГО МОЛОДЕЖНОГО КОНКУРСА НАУЧНО-ТЕХНИЧЕСКИХ РАБОТ “ОРБИТА МОЛОДЕЖИ” В 2020 ГОДУ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Организатором конкурса выступает Государственная корпорация по космической деятельности «Роскосмос» в партнерстве с межрегиональной общественной организацией «Российская академия космонавтики имени К. Э. Циолковского» (далее - МОО «РАКЦ»). Организатором внутривузовского этапа конкурса выступает Самарский университет.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Положение определяет порядок организации и проведения внутривузовского этапа всероссийского молодежного конкурса научно-технических работ «Орбита молодежи» для научных работников, профессорско-преподавательского состава (ППС), аспирантов и студентов Самарского университета (далее - Конкурс).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целью проведения Конкурса является выявление и привлечение в ракетно-космическую промышленность молодых ученых и специалистов, поиск и отбор потенциальных инновационных проектов, формирование творческих связей между молодыми специалистами организаций ракетно-космической промышленности.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Конкурсе принимаются научно-технические работы с результатами научных исследований и разработок, проектно-конструкторские и методические разработки, экспериментальные работы, работы по созданию и внедрению в производство прогрессивных технологических процессов, материалов, совершенствованию методов управления и организации разработок.</w:t>
        <w:br w:type="textWrapping"/>
        <w:tab/>
        <w:t xml:space="preserve">В связи с распространением новой коронавирусной инфекции на территории Российской Федерации настоящий конкурс проводится в дистанционном формате.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НАУЧНО-ТЕХНИЧЕСКИХ РАБОТ КОНКУРСА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Фундаментальные космические исследования и проектирование миссий освоения космоса, в том числе по тематике освоения Луны, Марса, другие планеты и астероидно-кометной опасности.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Динамика полета, проектная баллистика, навигация и системы управления ракетно-космической техникой, а также проблемы космического мусора.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Системные и проектно-конструкторские решения средств выведения, разгонных блоков, ракетных двигателей и наземной космической инфраструктуры.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Системные и проектно-конструкторские решения при проектировании и создании автоматических космических аппаратов различного назначения, в том числе малых космических аппаратов и аппаратов нанокласса (формата CubeSat). Целевая аппаратура и бортовая энергетика космических аппаратов различного назначения.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Системные проектно-конструкторские решения при проведении испытаний ракетно-космической техники. Программно-математическое обеспечение при моделировании функционирования ракетно-космической техники в процессе разработки, создании и испытании, оценка их функционирования. Сбора и обработки результатов испытаний.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Пилотируемые космические полеты, космические аппараты, технические и программные решения в интересах пилотируемой космонавтики. Космическая медицина, телемедицина, земное применение медико-биологических разработок, выполненных в интересах космических полетов.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Развитие ракетно-космической промышленности и производственных технологий.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Новые материалы и вещества для применения в ракетно-космической технике (композиты, наноматериалы, компоненты топлива, теплозащитные и теплоизолирующие материалы и покрытия и т.п.).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Системные и экономические исследования в сфере космической деятельности. Использование результатов космической деятельности. Инновационные направления развития в ракетно-космической промышленности.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УСЛОВИЯ УЧАСТИЯ В КОНКУРСЕ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Конкурсе могут принять участие работники организаций ракетно-космической промышленности, научные работники, ППС, аспиранты и студенты Самарского университета в возрасте от 18 до 35 лет.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Принять участие в конкурсе могут отдельные авторы или авторские коллективы (до пяти человек). Каждый участник Конкурса с учетом всех номинаций может подать не более одной индивидуальной заявки и быть одновременно участником не более чем одной заявки от авторского коллектива.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Лауреаты конкурсов 2015 - 2019 годов допускаются к участию в Конкурсе только в составе новых авторских коллективов. Остальные члены новых авторских коллективов не должны являться лауреатами Конкурса 2015-2019 годов.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Заявки на участие в Конкурсе, представленные с нарушением правил оформления или поступившие на Конкурс после установленного срока, не рассматриваются.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Конкурса дают согласие на хранение и обработку информации, в том числе персональных данных, представленной организаторами Конкурса.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НАУЧНО-ТЕХНИЧЕСКИМ РАБОТАМ,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ПРЕДСТАВЛЯЕМЫМ НА КОНКУРС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подачи заявки необходимо подготовить следующие документы: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720" w:right="-28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об участнике конкурса - для каждого участника авторского коллектива (в соответствии с формой (приложение № 1);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720" w:right="-2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работы - за подписью научного руководителя в формате pdf (в соответствии с требованиями приложения № 2). Текст работы печатается через одинарный междустрочный интервал в текстовом редакторе Microsoft word. Шрифт Times new roman. Размер шрифта -11. Поля: слева, справа и сверху - 2 см, снизу - 2,5 см. Название файла должно содержать номер темы, фамилию и инициалы заявителя (одного из авторов, делегированных авторскими коллективами в случае коллективной работы), например: «12_ИвановИИ. Pdf»;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720" w:right="-2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тезисы - в формате doc с названием по образцу «12__ИвановИИтезисы. doc» в свободной форме (рекомендуется использовать по шаблону прошлого года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https://www.voenmeh.ru/images/docs/science/conferences/orbita2019_materials.pdf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720" w:right="-2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 экспертизы о возможности публикации тезисов» - в формате .pdf с названием по образцу «12_ИвановИИ_экспертиза. Pdf», готовится на основании локальных документов университета (см.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https://ssau.ru/info/official_docs/expert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Представленные материалы не рецензируются и не возвращаются.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Всю ответственность за достоверность материалов и выводов, а также пригодность представленных материалов для открытого опубликования несет автор (авторы) и научный руководитель работы.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Конкурса несет все расходы, связанные с подготовкой и представлением заявки на отборочный этап Конкурса.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 НАУЧНО-ТЕХНИЧЕСКИХ РАБОТАХ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Экспертная комиссия при рассмотрении поступивших на внутривузовский этап Конкурса научно-технических работ руководствуется следующими критериями.</w:t>
      </w:r>
    </w:p>
    <w:tbl>
      <w:tblPr>
        <w:tblStyle w:val="Table1"/>
        <w:tblW w:w="9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8580"/>
        <w:gridCol w:w="765"/>
        <w:tblGridChange w:id="0">
          <w:tblGrid>
            <w:gridCol w:w="570"/>
            <w:gridCol w:w="8580"/>
            <w:gridCol w:w="765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персонального вклада автора (ов) в работу: ДА/НЕТ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 случае принятия решения об отсутствия вклада авторов дальнейшая оценка по критериям не производится, общая сумма баллов по заявке составит 0 баллов)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по критериям в соответствии со шкалой степени соответствия заявки критерию: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не соответствует;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минимально соответствует;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2 - соответствует не в полной мере;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3 - соответствует в достаточной мере;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соответствует в максимальной степени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и возможные критерии оценки (1 этап)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Балл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Актуальность научно-технической работы / темы; решение актуальных задач федеральных и/или международных программ;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актуальных задач развития критических, ключевых и прочих технологий в соответствии с существующими перечнями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Научная новизна научно-технической работы новизна поставленной задачи; новизна подходов к решению известной задачи; уникальность (отсутствие аналогов) по конкретным достигнутым результатам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персонального вклада авторов конкурсной работы в решение задачи;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научных публикаций и монографий автора(ов) по теме конкурсной работы;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у автора(ов) авторских свидетельств/патентов по теме конкурсной работы или смежным темам; участие автора(ов) в российских и международных конференциях, семинарах, симпозиумах с выступлениями по теме конкурсной работы или смежным темам; </w:t>
              <w:br w:type="textWrapping"/>
              <w:t xml:space="preserve">участие автора(ов) в НИР, ОКР, иных контрактных работах по теме конкурсной работы в качестве ответственных или ключевых исполнителей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Научно-технический уровень конкурсной работы: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современных методов, алгоритмов и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технологий;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интеграция в современную систему знаний (предшественники, ссылки, последователи);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ясность изложения, достаточность иллюстративного и расчетного материала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Теоретическая и практическая значимость для применения в ракетно-космической технике (в соответствии с применимостью по типу разработки): наличие ноу-хау;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опытного образца;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писем и рекомендаций от потенциальных заказчиков (для практических работ);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содержательных рецензий и отзывов, подтверждающих значимость работы (для теоретических и практических работ);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публикаций в высокорейтинговых рецензируемых журналах;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рассчитанного экономического эффекта от практической реализации;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высокая значимость для развития науки, техники, технологий в ракетно-космической промышленности;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высокая значимость для повышения эффективности космической деятельности;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0-4</w:t>
            </w:r>
          </w:p>
        </w:tc>
      </w:tr>
    </w:tbl>
    <w:p w:rsidR="00000000" w:rsidDel="00000000" w:rsidP="00000000" w:rsidRDefault="00000000" w:rsidRPr="00000000" w14:paraId="00000055">
      <w:pPr>
        <w:spacing w:after="0" w:line="223.2" w:lineRule="auto"/>
        <w:ind w:right="-28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СРОКИ ПРОВЕДЕНИЯ КОНКУРСА</w:t>
      </w:r>
    </w:p>
    <w:p w:rsidR="00000000" w:rsidDel="00000000" w:rsidP="00000000" w:rsidRDefault="00000000" w:rsidRPr="00000000" w14:paraId="00000058">
      <w:pPr>
        <w:spacing w:after="0" w:line="223.2" w:lineRule="auto"/>
        <w:ind w:right="-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  <w:t xml:space="preserve">10.06.2020-21.06.2020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Объявление о Конкурсе размещается на сайте Самарского университет. Проведение сбора заявок и научно-технических работ участников.</w:t>
        <w:br w:type="textWrapping"/>
        <w:tab/>
        <w:t xml:space="preserve">Заявки и конкурсные работы, выполненные в соответствиями с требованиями, указанными в настоящем Положении, направляются помощнику проректора, секретарю экспертной комиссии Верховской Татьяне Владимировне на электронную почту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nirs@ssau.ru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Телефон для справок: 267-43-14. </w:t>
      </w:r>
    </w:p>
    <w:p w:rsidR="00000000" w:rsidDel="00000000" w:rsidP="00000000" w:rsidRDefault="00000000" w:rsidRPr="00000000" w14:paraId="00000059">
      <w:pPr>
        <w:spacing w:line="223.2" w:lineRule="auto"/>
        <w:ind w:right="-285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22.06.2020-30.06.2020</w:t>
      </w:r>
    </w:p>
    <w:p w:rsidR="00000000" w:rsidDel="00000000" w:rsidP="00000000" w:rsidRDefault="00000000" w:rsidRPr="00000000" w14:paraId="0000005A">
      <w:pPr>
        <w:spacing w:line="223.2" w:lineRule="auto"/>
        <w:ind w:right="-285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 научно-технических работ участников на соответствие требованиям настоящего Положения. Оценивание научно-технических работ участников в соответствии с критериями, указанными в настоящем Положении.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23.2" w:lineRule="auto"/>
        <w:ind w:right="-285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01.07.2020-03.07.2020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Объявление о результатах Конкурса размещается на сайте Самарского университета. </w:t>
        <w:br w:type="textWrapping"/>
        <w:tab/>
        <w:t xml:space="preserve">Для участия в следующем этапе Всероссийского молодежного конкурса научно-технических работ “Орбита молодежи” победители конкурса в срок до 03 июля 2020 года обязаны пройти регистрацию на специализированном сайте в сети Интернет по адресу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http://ntk.roscosmos.ru/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АВТОРСКИЕ ПРАВА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2" w:lineRule="auto"/>
        <w:ind w:left="0"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 за соблюдение авторских прав работы, участвующей в конкурсе, несет участник, приславший данную работу на конкурс.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060"/>
          <w:tab w:val="left" w:pos="4678"/>
          <w:tab w:val="left" w:pos="7020"/>
          <w:tab w:val="left" w:pos="8100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положению о проведении внутривузовского этапа</w:t>
      </w:r>
    </w:p>
    <w:p w:rsidR="00000000" w:rsidDel="00000000" w:rsidP="00000000" w:rsidRDefault="00000000" w:rsidRPr="00000000" w14:paraId="00000061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Всероссийского молодежного конкурса научно-технических работ</w:t>
      </w:r>
    </w:p>
    <w:p w:rsidR="00000000" w:rsidDel="00000000" w:rsidP="00000000" w:rsidRDefault="00000000" w:rsidRPr="00000000" w14:paraId="00000062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“Орбита молодежи” в 2020 году</w:t>
      </w:r>
    </w:p>
    <w:p w:rsidR="00000000" w:rsidDel="00000000" w:rsidP="00000000" w:rsidRDefault="00000000" w:rsidRPr="00000000" w14:paraId="00000063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Сведения об участниках конкурса научных работ</w:t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(заполняется для всех авторов, включая заявителя)</w:t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3660"/>
        <w:gridCol w:w="5700"/>
        <w:tblGridChange w:id="0">
          <w:tblGrid>
            <w:gridCol w:w="555"/>
            <w:gridCol w:w="3660"/>
            <w:gridCol w:w="5700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Данные об авторском коллективе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участников авторского коллектива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(из перечисленных в положении)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научной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Персональные данные автора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 (мобильный)*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Почтовый адрес, по которому будет направлен сборник тезисов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Ученая степень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Ученое 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и сокращенное название вуза/организации*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Почтовый адрес вуза/организации*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Электронный адрес вуза/организации*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Факс вуза/организации*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 (служебный)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pos="3060"/>
          <w:tab w:val="left" w:pos="4678"/>
          <w:tab w:val="left" w:pos="7020"/>
          <w:tab w:val="left" w:pos="8100"/>
        </w:tabs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  <w:sectPr>
          <w:headerReference r:id="rId10" w:type="default"/>
          <w:headerReference r:id="rId11" w:type="first"/>
          <w:footerReference r:id="rId12" w:type="default"/>
          <w:footerReference r:id="rId13" w:type="first"/>
          <w:pgSz w:h="16838" w:w="11906"/>
          <w:pgMar w:bottom="1134" w:top="1134" w:left="1134" w:right="851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3060"/>
          <w:tab w:val="left" w:pos="4678"/>
          <w:tab w:val="left" w:pos="7020"/>
          <w:tab w:val="left" w:pos="8100"/>
        </w:tabs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Приложение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 положению о проведении внутривузовского этапа Всероссийского молодежного конкурса научно-технических работ “Орбита молодежи” в 2020 году</w:t>
      </w:r>
    </w:p>
    <w:p w:rsidR="00000000" w:rsidDel="00000000" w:rsidP="00000000" w:rsidRDefault="00000000" w:rsidRPr="00000000" w14:paraId="000000A6">
      <w:pPr>
        <w:spacing w:after="0" w:line="240" w:lineRule="auto"/>
        <w:ind w:left="0" w:right="-28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ОПИСАНИЕ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научно-технической работы</w:t>
        <w:br w:type="textWrapping"/>
        <w:t xml:space="preserve">(до пяти страниц, не включая приложения)</w:t>
      </w:r>
    </w:p>
    <w:p w:rsidR="00000000" w:rsidDel="00000000" w:rsidP="00000000" w:rsidRDefault="00000000" w:rsidRPr="00000000" w14:paraId="000000A7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Ф. И. О.__________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ab/>
        <w:t xml:space="preserve">1. Номер и название темы.</w:t>
        <w:br w:type="textWrapping"/>
        <w:tab/>
        <w:t xml:space="preserve">2. Название работы.</w:t>
        <w:br w:type="textWrapping"/>
        <w:tab/>
        <w:t xml:space="preserve">3. Формулировка решаемой проблемы: (описание проблемной ситуации, сложившейся в данном научном направлении).</w:t>
        <w:br w:type="textWrapping"/>
        <w:tab/>
        <w:t xml:space="preserve">4. Цели работы.</w:t>
        <w:br w:type="textWrapping"/>
        <w:tab/>
        <w:t xml:space="preserve">5. Задачи работы.</w:t>
        <w:br w:type="textWrapping"/>
        <w:tab/>
        <w:t xml:space="preserve">6. Основное содержание.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Дополнительные требования к материалам, представляемым по теме «Перспективные малые</w:t>
        <w:br w:type="textWrapping"/>
        <w:t xml:space="preserve">космические аппараты»:</w:t>
      </w:r>
    </w:p>
    <w:p w:rsidR="00000000" w:rsidDel="00000000" w:rsidP="00000000" w:rsidRDefault="00000000" w:rsidRPr="00000000" w14:paraId="000000A8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масса малого космического аппарата (далее - МКА); способ выведения на Орбиту и</w:t>
      </w:r>
    </w:p>
    <w:p w:rsidR="00000000" w:rsidDel="00000000" w:rsidP="00000000" w:rsidRDefault="00000000" w:rsidRPr="00000000" w14:paraId="000000A9">
      <w:pPr>
        <w:spacing w:after="0" w:line="240" w:lineRule="auto"/>
        <w:ind w:left="0" w:right="-2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параметры Орбиты; габаритные размеры; целевые прикладные задачи, которые может решать данный МКА; стадия проработки МКА - расширенная презентация; базовые технико-экономические показатели проекта; в случае разработки МКА формата CubeSat: назначение, форм-фактор CubeSat (1U - 6U) и</w:t>
      </w:r>
    </w:p>
    <w:p w:rsidR="00000000" w:rsidDel="00000000" w:rsidP="00000000" w:rsidRDefault="00000000" w:rsidRPr="00000000" w14:paraId="000000AA">
      <w:pPr>
        <w:spacing w:after="0" w:line="240" w:lineRule="auto"/>
        <w:ind w:left="0" w:right="-2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характеристики малого космического аппарата; платформа (покупная/вновь разрабатываемая) и основная полезная нагрузка КА (покупная/вновь разрабатываемая).</w:t>
      </w:r>
    </w:p>
    <w:p w:rsidR="00000000" w:rsidDel="00000000" w:rsidP="00000000" w:rsidRDefault="00000000" w:rsidRPr="00000000" w14:paraId="000000AB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Новизна: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(получен принципиально новый результат, позволяет решать принципиально новые задачи, открывает новые направления развития исследований в науке и технике, усовершенствование известных результатов).</w:t>
      </w:r>
    </w:p>
    <w:p w:rsidR="00000000" w:rsidDel="00000000" w:rsidP="00000000" w:rsidRDefault="00000000" w:rsidRPr="00000000" w14:paraId="000000AC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Полученные и ожидаемые результаты: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(расширение теоретических знаний, новые научные данные о процессах, явлениях, закономерностях, существующих в исследуемой области, открытие путей применения новых явлений и закономерностей, теоретическое/методологическое обоснование принципов и путей создания/модернизации объекта исследований или разработки, разработка базы данных, создание программных имитаторов функционирования космических аппаратов).</w:t>
      </w:r>
    </w:p>
    <w:p w:rsidR="00000000" w:rsidDel="00000000" w:rsidP="00000000" w:rsidRDefault="00000000" w:rsidRPr="00000000" w14:paraId="000000AD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Основные направления дальнейшего использования предполагаемых результатов в РКП: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(влияние полученных результатов на развитие научных, научно-технических и технологических направлений, разработка новых технологических решений, последующие НИР (ОКР), увеличение выпуска продукции (услуг), разработка рекомендаций и предложений по использованию результатов в уже реализуемых инновационных проектах, совершенствование дальнейших процессов).</w:t>
      </w:r>
    </w:p>
    <w:p w:rsidR="00000000" w:rsidDel="00000000" w:rsidP="00000000" w:rsidRDefault="00000000" w:rsidRPr="00000000" w14:paraId="000000AE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Личный вклад каждого из авторов проекта.</w:t>
      </w:r>
    </w:p>
    <w:p w:rsidR="00000000" w:rsidDel="00000000" w:rsidP="00000000" w:rsidRDefault="00000000" w:rsidRPr="00000000" w14:paraId="000000AF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Научный задел по заявленному научному исследованию:</w:t>
      </w:r>
    </w:p>
    <w:p w:rsidR="00000000" w:rsidDel="00000000" w:rsidP="00000000" w:rsidRDefault="00000000" w:rsidRPr="00000000" w14:paraId="000000B0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11.1. Участие в научных исследованиях:</w:t>
      </w:r>
    </w:p>
    <w:tbl>
      <w:tblPr>
        <w:tblStyle w:val="Table3"/>
        <w:tblW w:w="9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1680"/>
        <w:gridCol w:w="1755"/>
        <w:gridCol w:w="1845"/>
        <w:gridCol w:w="1800"/>
        <w:gridCol w:w="2100"/>
        <w:tblGridChange w:id="0">
          <w:tblGrid>
            <w:gridCol w:w="750"/>
            <w:gridCol w:w="1680"/>
            <w:gridCol w:w="1755"/>
            <w:gridCol w:w="1845"/>
            <w:gridCol w:w="1800"/>
            <w:gridCol w:w="21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финансирования (млн рублей)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Источник финансирования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выполнения проекта (начало - окончание)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Основные результаты проекта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="240" w:lineRule="auto"/>
        <w:ind w:left="0" w:right="-285"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11.2. Перечень объектов интеллектуальной собственности по направлению заявленного исследования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(патенты, авторские свидетельства и т.д.):</w:t>
      </w: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640"/>
        <w:gridCol w:w="1080"/>
        <w:gridCol w:w="1470"/>
        <w:gridCol w:w="1710"/>
        <w:gridCol w:w="1020"/>
        <w:gridCol w:w="1335"/>
        <w:tblGridChange w:id="0">
          <w:tblGrid>
            <w:gridCol w:w="660"/>
            <w:gridCol w:w="2640"/>
            <w:gridCol w:w="1080"/>
            <w:gridCol w:w="1470"/>
            <w:gridCol w:w="1710"/>
            <w:gridCol w:w="1020"/>
            <w:gridCol w:w="1335"/>
          </w:tblGrid>
        </w:tblGridChange>
      </w:tblGrid>
      <w:tr>
        <w:trPr>
          <w:trHeight w:val="58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объекта интеллектуальной собственности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объекта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приоритета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Территория (страна) и срок действия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Охранный документ (патент, св-во о регистрации)</w:t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tabs>
          <w:tab w:val="left" w:pos="341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0.0" w:type="dxa"/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c>
          <w:tcPr/>
          <w:p w:rsidR="00000000" w:rsidDel="00000000" w:rsidP="00000000" w:rsidRDefault="00000000" w:rsidRPr="00000000" w14:paraId="000000D4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Научный руководитель _________/                                /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должность         подпись     (Ф.И.О.)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Участник конкурса 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/                                   /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подпись                   (Ф.И.О.)</w:t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организации _________/                         /</w:t>
            </w:r>
          </w:p>
          <w:p w:rsidR="00000000" w:rsidDel="00000000" w:rsidP="00000000" w:rsidRDefault="00000000" w:rsidRPr="00000000" w14:paraId="000000D9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должность         подпись      (Ф.И.О.)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341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М.П.</w:t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-285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/>
      <w:pgMar w:bottom="1133.8582677165355" w:top="1133.8582677165355" w:left="1133.8582677165355" w:right="1133.8582677165355" w:header="0" w:footer="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tk.roscosmos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oenmeh.ru/images/docs/science/conferences/orbita2019_materials.pdf" TargetMode="External"/><Relationship Id="rId7" Type="http://schemas.openxmlformats.org/officeDocument/2006/relationships/hyperlink" Target="https://ssau.ru/info/official_docs/expert" TargetMode="External"/><Relationship Id="rId8" Type="http://schemas.openxmlformats.org/officeDocument/2006/relationships/hyperlink" Target="mailto:nirs@ss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